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松江区农田面源污染监测</w:t>
      </w:r>
      <w:r>
        <w:rPr>
          <w:rFonts w:hint="eastAsia" w:ascii="方正小标宋简体" w:hAnsi="方正小标宋简体" w:eastAsia="方正小标宋简体" w:cs="方正小标宋简体"/>
          <w:sz w:val="32"/>
          <w:szCs w:val="32"/>
          <w:lang w:eastAsia="zh-CN"/>
        </w:rPr>
        <w:t>采购</w:t>
      </w:r>
      <w:r>
        <w:rPr>
          <w:rFonts w:hint="eastAsia" w:ascii="方正小标宋简体" w:hAnsi="方正小标宋简体" w:eastAsia="方正小标宋简体" w:cs="方正小标宋简体"/>
          <w:sz w:val="32"/>
          <w:szCs w:val="32"/>
        </w:rPr>
        <w:t>需求</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为进一步加强松江区农田面源污染防控力度，</w:t>
      </w:r>
      <w:r>
        <w:rPr>
          <w:rFonts w:hint="eastAsia" w:ascii="仿宋_GB2312" w:hAnsi="仿宋_GB2312" w:eastAsia="仿宋_GB2312" w:cs="仿宋_GB2312"/>
          <w:sz w:val="28"/>
          <w:szCs w:val="28"/>
          <w:lang w:eastAsia="zh-CN"/>
        </w:rPr>
        <w:t>通过持续跟踪监测不断完善我区农田面源污染特征和存在问题的精准识别</w:t>
      </w:r>
      <w:r>
        <w:rPr>
          <w:rFonts w:hint="eastAsia" w:ascii="仿宋_GB2312" w:hAnsi="仿宋_GB2312" w:eastAsia="仿宋_GB2312" w:cs="仿宋_GB2312"/>
          <w:sz w:val="28"/>
          <w:szCs w:val="28"/>
        </w:rPr>
        <w:t>，促进现代农业绿色高质量发展，实施“上海市松江区202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年度农田面源污染试点监测评估”技术服务项目。</w:t>
      </w:r>
    </w:p>
    <w:p>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rPr>
        <w:t>项目采购要求及内容</w:t>
      </w:r>
    </w:p>
    <w:p>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1.方案编制。结合2024年监测中存在的问题，编制2025年监测方案。</w:t>
      </w:r>
    </w:p>
    <w:p>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布点采样和监测评估。根据监测区实际情况确定监测点位。分别在农田引水口设置水质监测点位，灌溉期间开展水质人工采样。在两个入河排放口设置自动监测点位，常年开展流量在线自动监测。高质量完成汛期加密监测。对监测区及时进行农事记录（包括施肥情况、作物生育期等），以便于开展分析评估。根据市生态环境局工作要求，及时完成数据报送，并根据检测结果并进行后续的入河负荷评估。</w:t>
      </w:r>
    </w:p>
    <w:p>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3.报告和排放系数清单编制。完成监测后编制《松江区农田面源污染监测评估分析报告（2025年度）》1份、《松江区种植业面源污染本地化动态排放系数清单》1份，并组织专家评审。</w:t>
      </w:r>
    </w:p>
    <w:p>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、项目成果形式</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提交《松江区农田面源污染监测评估分析报告（202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年度）》文本及相关附图附表；提交《松江区种植业面源污染本地化动态排放系数清单》1份。</w:t>
      </w:r>
    </w:p>
    <w:p>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、项目其他要求</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质量要求：本次农田面源污染监测评估工作应满足《平原河网地区农田面源污染监测技术指南（试行）》（沪环生〔2023〕9 号）的相关技术要求。</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服务要求</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成果归委托方所有。</w:t>
      </w:r>
    </w:p>
    <w:p>
      <w:pPr>
        <w:pageBreakBefore w:val="0"/>
        <w:kinsoku/>
        <w:wordWrap/>
        <w:overflowPunct/>
        <w:topLinePunct w:val="0"/>
        <w:autoSpaceDE/>
        <w:autoSpaceDN/>
        <w:bidi w:val="0"/>
        <w:adjustRightInd/>
        <w:snapToGrid/>
        <w:spacing w:line="420" w:lineRule="exact"/>
        <w:ind w:left="0" w:leftChars="0"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四、※检测参数及分析方法（本项为必须满足项）</w:t>
      </w:r>
    </w:p>
    <w:p>
      <w:pPr>
        <w:keepNext w:val="0"/>
        <w:keepLines w:val="0"/>
        <w:pageBreakBefore w:val="0"/>
        <w:widowControl w:val="0"/>
        <w:kinsoku/>
        <w:wordWrap/>
        <w:overflowPunct/>
        <w:topLinePunct w:val="0"/>
        <w:autoSpaceDE/>
        <w:autoSpaceDN/>
        <w:bidi w:val="0"/>
        <w:adjustRightInd/>
        <w:snapToGrid/>
        <w:spacing w:line="420" w:lineRule="exact"/>
        <w:ind w:left="425"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具有CMA证书并且附表中有下列参数及方法</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检测参数</w:t>
            </w:r>
          </w:p>
        </w:tc>
        <w:tc>
          <w:tcPr>
            <w:tcW w:w="7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氨氮</w:t>
            </w:r>
          </w:p>
        </w:tc>
        <w:tc>
          <w:tcPr>
            <w:tcW w:w="7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HJ 535-2009 水质氨氮的测定纳氏试剂分光光度法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总磷</w:t>
            </w:r>
          </w:p>
        </w:tc>
        <w:tc>
          <w:tcPr>
            <w:tcW w:w="7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GB/T 11893-1989 水质 总磷的测定 钼酸铵分光光度法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总氮</w:t>
            </w:r>
          </w:p>
        </w:tc>
        <w:tc>
          <w:tcPr>
            <w:tcW w:w="7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HJ 636-2012 水质　总氮的测定　碱性过硫酸钾消解紫外分光光度法</w:t>
            </w:r>
          </w:p>
        </w:tc>
      </w:tr>
    </w:tbl>
    <w:p>
      <w:pPr>
        <w:pageBreakBefore w:val="0"/>
        <w:numPr>
          <w:ilvl w:val="0"/>
          <w:numId w:val="0"/>
        </w:numPr>
        <w:kinsoku/>
        <w:wordWrap/>
        <w:overflowPunct/>
        <w:topLinePunct w:val="0"/>
        <w:autoSpaceDE/>
        <w:autoSpaceDN/>
        <w:bidi w:val="0"/>
        <w:adjustRightInd/>
        <w:snapToGrid/>
        <w:spacing w:before="156" w:beforeLines="50"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五、项目</w:t>
      </w:r>
      <w:r>
        <w:rPr>
          <w:rFonts w:hint="eastAsia" w:ascii="仿宋_GB2312" w:hAnsi="仿宋_GB2312" w:eastAsia="仿宋_GB2312" w:cs="仿宋_GB2312"/>
          <w:b/>
          <w:bCs/>
          <w:color w:val="auto"/>
          <w:sz w:val="28"/>
          <w:szCs w:val="28"/>
        </w:rPr>
        <w:t>考核方式</w:t>
      </w:r>
    </w:p>
    <w:p>
      <w:pPr>
        <w:pStyle w:val="2"/>
        <w:pageBreakBefore w:val="0"/>
        <w:kinsoku/>
        <w:wordWrap/>
        <w:overflowPunct/>
        <w:topLinePunct w:val="0"/>
        <w:autoSpaceDE/>
        <w:autoSpaceDN/>
        <w:bidi w:val="0"/>
        <w:adjustRightInd/>
        <w:snapToGrid/>
        <w:spacing w:line="420" w:lineRule="exact"/>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val="0"/>
          <w:bCs w:val="0"/>
          <w:color w:val="auto"/>
          <w:sz w:val="28"/>
          <w:szCs w:val="28"/>
        </w:rPr>
        <w:t>乙方应在开展监测后的每月（非汛期如遇干旱入河排放口未产生排水时除外）</w:t>
      </w:r>
      <w:r>
        <w:rPr>
          <w:rFonts w:hint="eastAsia" w:ascii="仿宋_GB2312" w:hAnsi="仿宋_GB2312" w:eastAsia="仿宋_GB2312" w:cs="仿宋_GB2312"/>
          <w:b w:val="0"/>
          <w:bCs w:val="0"/>
          <w:color w:val="auto"/>
          <w:sz w:val="28"/>
          <w:szCs w:val="28"/>
          <w:lang w:eastAsia="zh-CN"/>
        </w:rPr>
        <w:t>报送监测数据</w:t>
      </w:r>
      <w:r>
        <w:rPr>
          <w:rFonts w:hint="eastAsia" w:ascii="仿宋_GB2312" w:hAnsi="仿宋_GB2312" w:eastAsia="仿宋_GB2312" w:cs="仿宋_GB2312"/>
          <w:b w:val="0"/>
          <w:bCs w:val="0"/>
          <w:color w:val="auto"/>
          <w:sz w:val="28"/>
          <w:szCs w:val="28"/>
        </w:rPr>
        <w:t>至甲方。</w:t>
      </w:r>
      <w:r>
        <w:rPr>
          <w:rFonts w:hint="eastAsia" w:ascii="仿宋_GB2312" w:hAnsi="仿宋_GB2312" w:eastAsia="仿宋_GB2312" w:cs="仿宋_GB2312"/>
          <w:b w:val="0"/>
          <w:bCs w:val="0"/>
          <w:color w:val="auto"/>
          <w:sz w:val="28"/>
          <w:szCs w:val="28"/>
          <w:lang w:eastAsia="zh-CN"/>
        </w:rPr>
        <w:t>生态环境局在每阶段结算前将对乙方进行考核，具体考核细则如下：</w:t>
      </w:r>
    </w:p>
    <w:p>
      <w:pPr>
        <w:pageBreakBefore w:val="0"/>
        <w:kinsoku/>
        <w:wordWrap/>
        <w:overflowPunct/>
        <w:topLinePunct w:val="0"/>
        <w:autoSpaceDE/>
        <w:autoSpaceDN/>
        <w:bidi w:val="0"/>
        <w:adjustRightInd/>
        <w:snapToGrid/>
        <w:spacing w:line="42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（一）考核分值。</w:t>
      </w:r>
      <w:r>
        <w:rPr>
          <w:rFonts w:hint="eastAsia" w:ascii="仿宋_GB2312" w:hAnsi="仿宋_GB2312" w:eastAsia="仿宋_GB2312" w:cs="仿宋_GB2312"/>
          <w:color w:val="auto"/>
          <w:sz w:val="28"/>
          <w:szCs w:val="28"/>
        </w:rPr>
        <w:t>考核结果采用综合评分定级的方法,总分值为100分。</w:t>
      </w:r>
    </w:p>
    <w:p>
      <w:pPr>
        <w:pageBreakBefore w:val="0"/>
        <w:kinsoku/>
        <w:wordWrap/>
        <w:overflowPunct/>
        <w:topLinePunct w:val="0"/>
        <w:autoSpaceDE/>
        <w:autoSpaceDN/>
        <w:bidi w:val="0"/>
        <w:adjustRightInd/>
        <w:snapToGrid/>
        <w:spacing w:line="42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（二）考核评定</w:t>
      </w:r>
    </w:p>
    <w:p>
      <w:pPr>
        <w:pageBreakBefore w:val="0"/>
        <w:kinsoku/>
        <w:wordWrap/>
        <w:overflowPunct/>
        <w:topLinePunct w:val="0"/>
        <w:autoSpaceDE/>
        <w:autoSpaceDN/>
        <w:bidi w:val="0"/>
        <w:adjustRightInd/>
        <w:snapToGrid/>
        <w:spacing w:line="42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eastAsia="仿宋_GB2312" w:cs="仿宋_GB2312"/>
          <w:color w:val="auto"/>
          <w:sz w:val="28"/>
          <w:szCs w:val="28"/>
        </w:rPr>
        <w:t>考核评定分优秀、良好、合格和不合格4个等次。得分高于95分(含95)的为优秀，得分在85(含85)-94分的为良好，得分在70(含70)-84分的为合格，得分在69分及以下的为不合格。</w:t>
      </w:r>
    </w:p>
    <w:p>
      <w:pPr>
        <w:pageBreakBefore w:val="0"/>
        <w:kinsoku/>
        <w:wordWrap/>
        <w:overflowPunct/>
        <w:topLinePunct w:val="0"/>
        <w:autoSpaceDE/>
        <w:autoSpaceDN/>
        <w:bidi w:val="0"/>
        <w:adjustRightInd/>
        <w:snapToGrid/>
        <w:spacing w:line="42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eastAsia="仿宋_GB2312" w:cs="仿宋_GB2312"/>
          <w:color w:val="auto"/>
          <w:sz w:val="28"/>
          <w:szCs w:val="28"/>
        </w:rPr>
        <w:t>考核按</w:t>
      </w:r>
      <w:r>
        <w:rPr>
          <w:rFonts w:hint="eastAsia" w:ascii="仿宋_GB2312" w:hAnsi="仿宋_GB2312" w:eastAsia="仿宋_GB2312" w:cs="仿宋_GB2312"/>
          <w:color w:val="auto"/>
          <w:sz w:val="28"/>
          <w:szCs w:val="28"/>
          <w:lang w:eastAsia="zh-CN"/>
        </w:rPr>
        <w:t>次</w:t>
      </w:r>
      <w:r>
        <w:rPr>
          <w:rFonts w:hint="eastAsia" w:ascii="仿宋_GB2312" w:hAnsi="仿宋_GB2312" w:eastAsia="仿宋_GB2312" w:cs="仿宋_GB2312"/>
          <w:color w:val="auto"/>
          <w:sz w:val="28"/>
          <w:szCs w:val="28"/>
        </w:rPr>
        <w:t>进行，根据考核分数的算术平均值计算应付服务费。</w:t>
      </w:r>
    </w:p>
    <w:p>
      <w:pPr>
        <w:pageBreakBefore w:val="0"/>
        <w:kinsoku/>
        <w:wordWrap/>
        <w:overflowPunct/>
        <w:topLinePunct w:val="0"/>
        <w:autoSpaceDE/>
        <w:autoSpaceDN/>
        <w:bidi w:val="0"/>
        <w:adjustRightInd/>
        <w:snapToGrid/>
        <w:spacing w:line="42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（三）考核罚则</w:t>
      </w:r>
    </w:p>
    <w:p>
      <w:pPr>
        <w:pageBreakBefore w:val="0"/>
        <w:kinsoku/>
        <w:wordWrap/>
        <w:overflowPunct/>
        <w:topLinePunct w:val="0"/>
        <w:autoSpaceDE/>
        <w:autoSpaceDN/>
        <w:bidi w:val="0"/>
        <w:adjustRightInd/>
        <w:snapToGrid/>
        <w:spacing w:line="42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50万元≤年度预算＜100万元的：</w:t>
      </w:r>
    </w:p>
    <w:p>
      <w:pPr>
        <w:pageBreakBefore w:val="0"/>
        <w:kinsoku/>
        <w:wordWrap/>
        <w:overflowPunct/>
        <w:topLinePunct w:val="0"/>
        <w:autoSpaceDE/>
        <w:autoSpaceDN/>
        <w:bidi w:val="0"/>
        <w:adjustRightInd/>
        <w:snapToGrid/>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（1）考核结果为优秀的，全额支付</w:t>
      </w:r>
      <w:r>
        <w:rPr>
          <w:rFonts w:hint="eastAsia" w:ascii="仿宋_GB2312" w:hAnsi="仿宋_GB2312" w:eastAsia="仿宋_GB2312" w:cs="仿宋_GB2312"/>
          <w:color w:val="auto"/>
          <w:sz w:val="28"/>
          <w:szCs w:val="28"/>
          <w:lang w:eastAsia="zh-CN"/>
        </w:rPr>
        <w:t>本次</w:t>
      </w:r>
      <w:r>
        <w:rPr>
          <w:rFonts w:hint="eastAsia" w:ascii="仿宋_GB2312" w:hAnsi="仿宋_GB2312" w:eastAsia="仿宋_GB2312" w:cs="仿宋_GB2312"/>
          <w:color w:val="auto"/>
          <w:sz w:val="28"/>
          <w:szCs w:val="28"/>
        </w:rPr>
        <w:t>服务费；</w:t>
      </w:r>
    </w:p>
    <w:p>
      <w:pPr>
        <w:pageBreakBefore w:val="0"/>
        <w:kinsoku/>
        <w:wordWrap/>
        <w:overflowPunct/>
        <w:topLinePunct w:val="0"/>
        <w:autoSpaceDE/>
        <w:autoSpaceDN/>
        <w:bidi w:val="0"/>
        <w:adjustRightInd/>
        <w:snapToGrid/>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（2）考核结果为良好的，每扣一分相应扣除</w:t>
      </w:r>
      <w:r>
        <w:rPr>
          <w:rFonts w:hint="eastAsia" w:ascii="仿宋_GB2312" w:hAnsi="仿宋_GB2312" w:eastAsia="仿宋_GB2312" w:cs="仿宋_GB2312"/>
          <w:color w:val="auto"/>
          <w:sz w:val="28"/>
          <w:szCs w:val="28"/>
          <w:lang w:eastAsia="zh-CN"/>
        </w:rPr>
        <w:t>本次</w:t>
      </w:r>
      <w:r>
        <w:rPr>
          <w:rFonts w:hint="eastAsia" w:ascii="仿宋_GB2312" w:hAnsi="仿宋_GB2312" w:eastAsia="仿宋_GB2312" w:cs="仿宋_GB2312"/>
          <w:color w:val="auto"/>
          <w:sz w:val="28"/>
          <w:szCs w:val="28"/>
        </w:rPr>
        <w:t>全额服务费的</w:t>
      </w:r>
      <w:r>
        <w:rPr>
          <w:rFonts w:hint="eastAsia" w:ascii="仿宋_GB2312" w:hAnsi="仿宋_GB2312" w:eastAsia="仿宋_GB2312" w:cs="仿宋_GB2312"/>
          <w:b/>
          <w:color w:val="auto"/>
          <w:sz w:val="28"/>
          <w:szCs w:val="28"/>
        </w:rPr>
        <w:t>千分之三（3‰）</w:t>
      </w:r>
      <w:r>
        <w:rPr>
          <w:rFonts w:hint="eastAsia" w:ascii="仿宋_GB2312" w:hAnsi="仿宋_GB2312" w:eastAsia="仿宋_GB2312" w:cs="仿宋_GB2312"/>
          <w:color w:val="auto"/>
          <w:sz w:val="28"/>
          <w:szCs w:val="28"/>
        </w:rPr>
        <w:t>；</w:t>
      </w:r>
    </w:p>
    <w:p>
      <w:pPr>
        <w:pageBreakBefore w:val="0"/>
        <w:kinsoku/>
        <w:wordWrap/>
        <w:overflowPunct/>
        <w:topLinePunct w:val="0"/>
        <w:autoSpaceDE/>
        <w:autoSpaceDN/>
        <w:bidi w:val="0"/>
        <w:adjustRightInd/>
        <w:snapToGrid/>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（3）考核结果为合格的，每扣一分相应扣除</w:t>
      </w:r>
      <w:r>
        <w:rPr>
          <w:rFonts w:hint="eastAsia" w:ascii="仿宋_GB2312" w:hAnsi="仿宋_GB2312" w:eastAsia="仿宋_GB2312" w:cs="仿宋_GB2312"/>
          <w:color w:val="auto"/>
          <w:sz w:val="28"/>
          <w:szCs w:val="28"/>
          <w:lang w:eastAsia="zh-CN"/>
        </w:rPr>
        <w:t>本次</w:t>
      </w:r>
      <w:r>
        <w:rPr>
          <w:rFonts w:hint="eastAsia" w:ascii="仿宋_GB2312" w:hAnsi="仿宋_GB2312" w:eastAsia="仿宋_GB2312" w:cs="仿宋_GB2312"/>
          <w:color w:val="auto"/>
          <w:sz w:val="28"/>
          <w:szCs w:val="28"/>
        </w:rPr>
        <w:t>全额服务费的</w:t>
      </w:r>
      <w:r>
        <w:rPr>
          <w:rFonts w:hint="eastAsia" w:ascii="仿宋_GB2312" w:hAnsi="仿宋_GB2312" w:eastAsia="仿宋_GB2312" w:cs="仿宋_GB2312"/>
          <w:b/>
          <w:color w:val="auto"/>
          <w:sz w:val="28"/>
          <w:szCs w:val="28"/>
        </w:rPr>
        <w:t>千分之五（5‰）</w:t>
      </w:r>
      <w:r>
        <w:rPr>
          <w:rFonts w:hint="eastAsia" w:ascii="仿宋_GB2312" w:hAnsi="仿宋_GB2312" w:eastAsia="仿宋_GB2312" w:cs="仿宋_GB2312"/>
          <w:color w:val="auto"/>
          <w:sz w:val="28"/>
          <w:szCs w:val="28"/>
        </w:rPr>
        <w:t>，并由主管部门责令限期整改；</w:t>
      </w:r>
    </w:p>
    <w:p>
      <w:pPr>
        <w:pageBreakBefore w:val="0"/>
        <w:kinsoku/>
        <w:wordWrap/>
        <w:overflowPunct/>
        <w:topLinePunct w:val="0"/>
        <w:autoSpaceDE/>
        <w:autoSpaceDN/>
        <w:bidi w:val="0"/>
        <w:adjustRightInd/>
        <w:snapToGrid/>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（4）考核结果为不合格的，每扣一分相应扣除</w:t>
      </w:r>
      <w:r>
        <w:rPr>
          <w:rFonts w:hint="eastAsia" w:ascii="仿宋_GB2312" w:hAnsi="仿宋_GB2312" w:eastAsia="仿宋_GB2312" w:cs="仿宋_GB2312"/>
          <w:color w:val="auto"/>
          <w:sz w:val="28"/>
          <w:szCs w:val="28"/>
          <w:lang w:eastAsia="zh-CN"/>
        </w:rPr>
        <w:t>本次</w:t>
      </w:r>
      <w:r>
        <w:rPr>
          <w:rFonts w:hint="eastAsia" w:ascii="仿宋_GB2312" w:hAnsi="仿宋_GB2312" w:eastAsia="仿宋_GB2312" w:cs="仿宋_GB2312"/>
          <w:color w:val="auto"/>
          <w:sz w:val="28"/>
          <w:szCs w:val="28"/>
        </w:rPr>
        <w:t>全额服务费的</w:t>
      </w:r>
      <w:r>
        <w:rPr>
          <w:rFonts w:hint="eastAsia" w:ascii="仿宋_GB2312" w:hAnsi="仿宋_GB2312" w:eastAsia="仿宋_GB2312" w:cs="仿宋_GB2312"/>
          <w:b/>
          <w:color w:val="auto"/>
          <w:sz w:val="28"/>
          <w:szCs w:val="28"/>
        </w:rPr>
        <w:t>千分之十（10‰）</w:t>
      </w:r>
      <w:r>
        <w:rPr>
          <w:rFonts w:hint="eastAsia" w:ascii="仿宋_GB2312" w:hAnsi="仿宋_GB2312" w:eastAsia="仿宋_GB2312" w:cs="仿宋_GB2312"/>
          <w:color w:val="auto"/>
          <w:sz w:val="28"/>
          <w:szCs w:val="28"/>
        </w:rPr>
        <w:t>；连续两</w:t>
      </w:r>
      <w:r>
        <w:rPr>
          <w:rFonts w:hint="eastAsia" w:ascii="仿宋_GB2312" w:hAnsi="仿宋_GB2312" w:eastAsia="仿宋_GB2312" w:cs="仿宋_GB2312"/>
          <w:color w:val="auto"/>
          <w:sz w:val="28"/>
          <w:szCs w:val="28"/>
          <w:lang w:eastAsia="zh-CN"/>
        </w:rPr>
        <w:t>次</w:t>
      </w:r>
      <w:r>
        <w:rPr>
          <w:rFonts w:hint="eastAsia" w:ascii="仿宋_GB2312" w:hAnsi="仿宋_GB2312" w:eastAsia="仿宋_GB2312" w:cs="仿宋_GB2312"/>
          <w:color w:val="auto"/>
          <w:sz w:val="28"/>
          <w:szCs w:val="28"/>
        </w:rPr>
        <w:t>考核不合格的，根据事先甲乙双方约定的考核细则及合同，局依法追究违约责任；</w:t>
      </w:r>
    </w:p>
    <w:p>
      <w:pPr>
        <w:pageBreakBefore w:val="0"/>
        <w:kinsoku/>
        <w:wordWrap/>
        <w:overflowPunct/>
        <w:topLinePunct w:val="0"/>
        <w:autoSpaceDE/>
        <w:autoSpaceDN/>
        <w:bidi w:val="0"/>
        <w:adjustRightInd/>
        <w:snapToGrid/>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（5）上述考核扣除服务费的计算方法如下：</w:t>
      </w:r>
    </w:p>
    <w:p>
      <w:pPr>
        <w:pageBreakBefore w:val="0"/>
        <w:kinsoku/>
        <w:wordWrap/>
        <w:overflowPunct/>
        <w:topLinePunct w:val="0"/>
        <w:autoSpaceDE/>
        <w:autoSpaceDN/>
        <w:bidi w:val="0"/>
        <w:adjustRightInd/>
        <w:snapToGrid/>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例：某项目年度预算80万元，</w:t>
      </w:r>
      <w:r>
        <w:rPr>
          <w:rFonts w:hint="eastAsia" w:ascii="仿宋_GB2312" w:hAnsi="仿宋_GB2312" w:eastAsia="仿宋_GB2312" w:cs="仿宋_GB2312"/>
          <w:color w:val="auto"/>
          <w:sz w:val="28"/>
          <w:szCs w:val="28"/>
          <w:lang w:eastAsia="zh-CN"/>
        </w:rPr>
        <w:t>本次</w:t>
      </w:r>
      <w:r>
        <w:rPr>
          <w:rFonts w:hint="eastAsia" w:ascii="仿宋_GB2312" w:hAnsi="仿宋_GB2312" w:eastAsia="仿宋_GB2312" w:cs="仿宋_GB2312"/>
          <w:color w:val="auto"/>
          <w:sz w:val="28"/>
          <w:szCs w:val="28"/>
        </w:rPr>
        <w:t>应付全额服务费为20万元，考核结果为：</w:t>
      </w:r>
    </w:p>
    <w:p>
      <w:pPr>
        <w:pageBreakBefore w:val="0"/>
        <w:kinsoku/>
        <w:wordWrap/>
        <w:overflowPunct/>
        <w:topLinePunct w:val="0"/>
        <w:autoSpaceDE/>
        <w:autoSpaceDN/>
        <w:bidi w:val="0"/>
        <w:adjustRightInd/>
        <w:snapToGrid/>
        <w:spacing w:line="420" w:lineRule="exact"/>
        <w:ind w:left="6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①95分，优秀，扣除服务费0元，支付全额20万元；</w:t>
      </w:r>
    </w:p>
    <w:p>
      <w:pPr>
        <w:pageBreakBefore w:val="0"/>
        <w:kinsoku/>
        <w:wordWrap/>
        <w:overflowPunct/>
        <w:topLinePunct w:val="0"/>
        <w:autoSpaceDE/>
        <w:autoSpaceDN/>
        <w:bidi w:val="0"/>
        <w:adjustRightInd/>
        <w:snapToGrid/>
        <w:spacing w:line="420" w:lineRule="exact"/>
        <w:ind w:left="6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②85分，良好，扣除服务费=20*3‰*10=0.6万元；</w:t>
      </w:r>
    </w:p>
    <w:p>
      <w:pPr>
        <w:pageBreakBefore w:val="0"/>
        <w:kinsoku/>
        <w:wordWrap/>
        <w:overflowPunct/>
        <w:topLinePunct w:val="0"/>
        <w:autoSpaceDE/>
        <w:autoSpaceDN/>
        <w:bidi w:val="0"/>
        <w:adjustRightInd/>
        <w:snapToGrid/>
        <w:spacing w:line="420" w:lineRule="exact"/>
        <w:ind w:left="6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③70分，合格，扣除服务费=20*（3‰*10+5‰*15）=2.1</w:t>
      </w:r>
    </w:p>
    <w:p>
      <w:pPr>
        <w:pageBreakBefore w:val="0"/>
        <w:kinsoku/>
        <w:wordWrap/>
        <w:overflowPunct/>
        <w:topLinePunct w:val="0"/>
        <w:autoSpaceDE/>
        <w:autoSpaceDN/>
        <w:bidi w:val="0"/>
        <w:adjustRightInd/>
        <w:snapToGrid/>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万元；</w:t>
      </w:r>
    </w:p>
    <w:p>
      <w:pPr>
        <w:pageBreakBefore w:val="0"/>
        <w:kinsoku/>
        <w:wordWrap/>
        <w:overflowPunct/>
        <w:topLinePunct w:val="0"/>
        <w:autoSpaceDE/>
        <w:autoSpaceDN/>
        <w:bidi w:val="0"/>
        <w:adjustRightInd/>
        <w:snapToGrid/>
        <w:spacing w:line="420" w:lineRule="exact"/>
        <w:ind w:firstLine="56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rPr>
        <w:t>④60分，不合格，扣除服务费=20*（3‰*10+5‰*15+10‰*10）=4.1万元。</w:t>
      </w:r>
    </w:p>
    <w:p>
      <w:pPr>
        <w:pStyle w:val="2"/>
        <w:tabs>
          <w:tab w:val="left" w:pos="576"/>
        </w:tabs>
        <w:rPr>
          <w:rFonts w:hint="eastAsia" w:ascii="黑体" w:hAnsi="黑体" w:eastAsia="黑体"/>
          <w:color w:val="auto"/>
          <w:sz w:val="30"/>
          <w:szCs w:val="30"/>
          <w:lang w:eastAsia="zh-CN"/>
        </w:rPr>
      </w:pPr>
    </w:p>
    <w:p>
      <w:pPr>
        <w:rPr>
          <w:rFonts w:hint="eastAsia"/>
          <w:color w:val="auto"/>
          <w:lang w:eastAsia="zh-CN"/>
        </w:rPr>
        <w:sectPr>
          <w:pgSz w:w="11906" w:h="16838"/>
          <w:pgMar w:top="1440" w:right="1800" w:bottom="1440" w:left="1800" w:header="851" w:footer="992" w:gutter="0"/>
          <w:cols w:space="720" w:num="1"/>
          <w:docGrid w:type="lines" w:linePitch="312" w:charSpace="0"/>
        </w:sectPr>
      </w:pPr>
    </w:p>
    <w:p>
      <w:pPr>
        <w:rPr>
          <w:rFonts w:hint="eastAsia" w:ascii="黑体" w:hAnsi="黑体" w:eastAsia="黑体"/>
          <w:color w:val="auto"/>
          <w:sz w:val="36"/>
          <w:szCs w:val="36"/>
          <w:u w:val="single"/>
          <w:lang w:val="en-US" w:eastAsia="zh-CN"/>
        </w:rPr>
      </w:pPr>
    </w:p>
    <w:p>
      <w:pPr>
        <w:spacing w:line="560" w:lineRule="exact"/>
        <w:jc w:val="center"/>
        <w:rPr>
          <w:rFonts w:ascii="黑体" w:hAnsi="黑体" w:eastAsia="黑体"/>
          <w:color w:val="auto"/>
          <w:sz w:val="36"/>
          <w:szCs w:val="36"/>
        </w:rPr>
      </w:pPr>
      <w:r>
        <w:rPr>
          <w:rFonts w:hint="eastAsia" w:ascii="黑体" w:hAnsi="黑体" w:eastAsia="黑体"/>
          <w:color w:val="auto"/>
          <w:sz w:val="36"/>
          <w:szCs w:val="36"/>
          <w:u w:val="single"/>
          <w:lang w:val="en-US" w:eastAsia="zh-CN"/>
        </w:rPr>
        <w:t xml:space="preserve">松江区2025年度农田面源污染试点监测评估 </w:t>
      </w:r>
      <w:r>
        <w:rPr>
          <w:rFonts w:hint="eastAsia" w:ascii="黑体" w:hAnsi="黑体" w:eastAsia="黑体"/>
          <w:color w:val="auto"/>
          <w:sz w:val="36"/>
          <w:szCs w:val="36"/>
        </w:rPr>
        <w:t>项目</w:t>
      </w:r>
      <w:r>
        <w:rPr>
          <w:rFonts w:hint="eastAsia" w:ascii="黑体" w:hAnsi="黑体" w:eastAsia="黑体"/>
          <w:color w:val="auto"/>
          <w:sz w:val="36"/>
          <w:szCs w:val="36"/>
          <w:u w:val="single"/>
          <w:lang w:val="en-US" w:eastAsia="zh-CN"/>
        </w:rPr>
        <w:t xml:space="preserve">     阶段</w:t>
      </w:r>
      <w:r>
        <w:rPr>
          <w:rFonts w:hint="eastAsia" w:ascii="黑体" w:hAnsi="黑体" w:eastAsia="黑体"/>
          <w:color w:val="auto"/>
          <w:sz w:val="36"/>
          <w:szCs w:val="36"/>
        </w:rPr>
        <w:t>考核汇总表</w:t>
      </w:r>
    </w:p>
    <w:tbl>
      <w:tblPr>
        <w:tblStyle w:val="8"/>
        <w:tblW w:w="12023" w:type="dxa"/>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58"/>
        <w:gridCol w:w="2760"/>
        <w:gridCol w:w="3735"/>
        <w:gridCol w:w="2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exact"/>
        </w:trPr>
        <w:tc>
          <w:tcPr>
            <w:tcW w:w="3458" w:type="dxa"/>
            <w:noWrap w:val="0"/>
            <w:vAlign w:val="center"/>
          </w:tcPr>
          <w:p>
            <w:pPr>
              <w:spacing w:line="560" w:lineRule="exact"/>
              <w:jc w:val="center"/>
              <w:rPr>
                <w:rFonts w:ascii="仿宋_GB2312" w:hAnsi="Times New Roman" w:eastAsia="仿宋_GB2312" w:cs="Times New Roman"/>
                <w:b/>
                <w:color w:val="auto"/>
                <w:kern w:val="0"/>
                <w:sz w:val="24"/>
                <w:szCs w:val="24"/>
              </w:rPr>
            </w:pPr>
            <w:r>
              <w:rPr>
                <w:rFonts w:hint="eastAsia" w:ascii="仿宋_GB2312" w:hAnsi="Times New Roman" w:eastAsia="仿宋_GB2312" w:cs="Times New Roman"/>
                <w:b/>
                <w:color w:val="auto"/>
                <w:kern w:val="0"/>
                <w:sz w:val="24"/>
                <w:szCs w:val="24"/>
              </w:rPr>
              <w:t>考核得分</w:t>
            </w:r>
          </w:p>
        </w:tc>
        <w:tc>
          <w:tcPr>
            <w:tcW w:w="2760" w:type="dxa"/>
            <w:noWrap w:val="0"/>
            <w:vAlign w:val="center"/>
          </w:tcPr>
          <w:p>
            <w:pPr>
              <w:spacing w:line="560" w:lineRule="exact"/>
              <w:jc w:val="center"/>
              <w:rPr>
                <w:rFonts w:ascii="仿宋_GB2312" w:hAnsi="Times New Roman" w:eastAsia="仿宋_GB2312" w:cs="Times New Roman"/>
                <w:b/>
                <w:color w:val="auto"/>
                <w:kern w:val="0"/>
                <w:sz w:val="24"/>
                <w:szCs w:val="24"/>
              </w:rPr>
            </w:pPr>
            <w:r>
              <w:rPr>
                <w:rFonts w:hint="eastAsia" w:ascii="仿宋_GB2312" w:hAnsi="Times New Roman" w:eastAsia="仿宋_GB2312" w:cs="Times New Roman"/>
                <w:b/>
                <w:color w:val="auto"/>
                <w:kern w:val="0"/>
                <w:sz w:val="24"/>
                <w:szCs w:val="24"/>
              </w:rPr>
              <w:t>考核等次</w:t>
            </w:r>
          </w:p>
        </w:tc>
        <w:tc>
          <w:tcPr>
            <w:tcW w:w="3735" w:type="dxa"/>
            <w:noWrap w:val="0"/>
            <w:vAlign w:val="center"/>
          </w:tcPr>
          <w:p>
            <w:pPr>
              <w:spacing w:line="560" w:lineRule="exact"/>
              <w:jc w:val="center"/>
              <w:rPr>
                <w:rFonts w:ascii="仿宋_GB2312" w:hAnsi="Times New Roman" w:eastAsia="仿宋_GB2312" w:cs="Times New Roman"/>
                <w:b/>
                <w:color w:val="auto"/>
                <w:kern w:val="0"/>
                <w:sz w:val="24"/>
                <w:szCs w:val="24"/>
              </w:rPr>
            </w:pPr>
            <w:r>
              <w:rPr>
                <w:rFonts w:hint="eastAsia" w:ascii="仿宋_GB2312" w:hAnsi="Times New Roman" w:eastAsia="仿宋_GB2312" w:cs="Times New Roman"/>
                <w:b/>
                <w:color w:val="auto"/>
                <w:kern w:val="0"/>
                <w:sz w:val="24"/>
                <w:szCs w:val="24"/>
              </w:rPr>
              <w:t>支付服务费情况</w:t>
            </w:r>
          </w:p>
        </w:tc>
        <w:tc>
          <w:tcPr>
            <w:tcW w:w="2070" w:type="dxa"/>
            <w:noWrap w:val="0"/>
            <w:vAlign w:val="center"/>
          </w:tcPr>
          <w:p>
            <w:pPr>
              <w:spacing w:line="560" w:lineRule="exact"/>
              <w:jc w:val="center"/>
              <w:rPr>
                <w:rFonts w:ascii="仿宋_GB2312" w:hAnsi="Times New Roman" w:eastAsia="仿宋_GB2312" w:cs="Times New Roman"/>
                <w:b/>
                <w:color w:val="auto"/>
                <w:kern w:val="0"/>
                <w:sz w:val="24"/>
                <w:szCs w:val="24"/>
              </w:rPr>
            </w:pPr>
            <w:r>
              <w:rPr>
                <w:rFonts w:hint="eastAsia" w:ascii="仿宋_GB2312" w:hAnsi="Times New Roman" w:eastAsia="仿宋_GB2312" w:cs="Times New Roman"/>
                <w:b/>
                <w:color w:val="auto"/>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exact"/>
        </w:trPr>
        <w:tc>
          <w:tcPr>
            <w:tcW w:w="3458" w:type="dxa"/>
            <w:noWrap w:val="0"/>
            <w:vAlign w:val="center"/>
          </w:tcPr>
          <w:p>
            <w:pPr>
              <w:spacing w:line="560" w:lineRule="exact"/>
              <w:jc w:val="center"/>
              <w:rPr>
                <w:rFonts w:hint="default" w:ascii="仿宋_GB2312" w:hAnsi="Times New Roman" w:eastAsia="仿宋_GB2312" w:cs="Times New Roman"/>
                <w:b/>
                <w:color w:val="auto"/>
                <w:kern w:val="0"/>
                <w:sz w:val="24"/>
                <w:szCs w:val="24"/>
                <w:u w:val="single"/>
                <w:lang w:val="en-US" w:eastAsia="zh-CN"/>
              </w:rPr>
            </w:pPr>
          </w:p>
        </w:tc>
        <w:tc>
          <w:tcPr>
            <w:tcW w:w="2760" w:type="dxa"/>
            <w:noWrap w:val="0"/>
            <w:vAlign w:val="center"/>
          </w:tcPr>
          <w:p>
            <w:pPr>
              <w:spacing w:line="560" w:lineRule="exact"/>
              <w:jc w:val="center"/>
              <w:rPr>
                <w:rFonts w:ascii="仿宋_GB2312" w:hAnsi="Times New Roman" w:eastAsia="仿宋_GB2312" w:cs="Times New Roman"/>
                <w:b/>
                <w:color w:val="auto"/>
                <w:kern w:val="0"/>
                <w:sz w:val="24"/>
                <w:szCs w:val="24"/>
              </w:rPr>
            </w:pPr>
          </w:p>
        </w:tc>
        <w:tc>
          <w:tcPr>
            <w:tcW w:w="3735" w:type="dxa"/>
            <w:noWrap w:val="0"/>
            <w:vAlign w:val="center"/>
          </w:tcPr>
          <w:p>
            <w:pPr>
              <w:spacing w:line="560" w:lineRule="exact"/>
              <w:jc w:val="center"/>
              <w:rPr>
                <w:rFonts w:ascii="仿宋_GB2312" w:hAnsi="Times New Roman" w:eastAsia="仿宋_GB2312" w:cs="Times New Roman"/>
                <w:b/>
                <w:color w:val="auto"/>
                <w:kern w:val="0"/>
                <w:sz w:val="24"/>
                <w:szCs w:val="24"/>
              </w:rPr>
            </w:pPr>
            <w:r>
              <w:rPr>
                <w:rFonts w:hint="eastAsia" w:ascii="仿宋_GB2312" w:hAnsi="Times New Roman" w:eastAsia="仿宋_GB2312" w:cs="Times New Roman"/>
                <w:b/>
                <w:color w:val="auto"/>
                <w:kern w:val="0"/>
                <w:sz w:val="24"/>
                <w:szCs w:val="24"/>
              </w:rPr>
              <w:t>全额支付</w:t>
            </w:r>
            <w:r>
              <w:rPr>
                <w:rFonts w:hint="eastAsia" w:ascii="仿宋_GB2312" w:hAnsi="Times New Roman" w:eastAsia="仿宋_GB2312" w:cs="Times New Roman"/>
                <w:b/>
                <w:color w:val="auto"/>
                <w:kern w:val="0"/>
                <w:sz w:val="24"/>
                <w:szCs w:val="24"/>
                <w:u w:val="single"/>
                <w:lang w:val="en-US" w:eastAsia="zh-CN"/>
              </w:rPr>
              <w:t xml:space="preserve">         </w:t>
            </w:r>
            <w:r>
              <w:rPr>
                <w:rFonts w:hint="eastAsia" w:ascii="仿宋_GB2312" w:hAnsi="Times New Roman" w:eastAsia="仿宋_GB2312" w:cs="Times New Roman"/>
                <w:b/>
                <w:color w:val="auto"/>
                <w:kern w:val="0"/>
                <w:sz w:val="24"/>
                <w:szCs w:val="24"/>
              </w:rPr>
              <w:t>元</w:t>
            </w:r>
          </w:p>
        </w:tc>
        <w:tc>
          <w:tcPr>
            <w:tcW w:w="2070" w:type="dxa"/>
            <w:noWrap w:val="0"/>
            <w:vAlign w:val="center"/>
          </w:tcPr>
          <w:p>
            <w:pPr>
              <w:spacing w:line="560" w:lineRule="exact"/>
              <w:jc w:val="center"/>
              <w:rPr>
                <w:rFonts w:ascii="仿宋_GB2312" w:hAnsi="Times New Roman" w:eastAsia="仿宋_GB2312" w:cs="Times New Roman"/>
                <w:b/>
                <w:color w:val="auto"/>
                <w:kern w:val="0"/>
                <w:sz w:val="24"/>
                <w:szCs w:val="24"/>
              </w:rPr>
            </w:pPr>
          </w:p>
        </w:tc>
      </w:tr>
    </w:tbl>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r>
        <w:rPr>
          <w:rFonts w:hint="eastAsia" w:ascii="仿宋_GB2312" w:eastAsia="仿宋_GB2312"/>
          <w:color w:val="auto"/>
          <w:sz w:val="24"/>
          <w:szCs w:val="24"/>
        </w:rPr>
        <w:t>使用管理部门负责人签字：                 主管部门负责人签字：                       承接主体负责人签字：</w:t>
      </w:r>
    </w:p>
    <w:p>
      <w:pPr>
        <w:spacing w:line="500" w:lineRule="exact"/>
        <w:rPr>
          <w:rFonts w:ascii="仿宋_GB2312" w:eastAsia="仿宋_GB2312"/>
          <w:color w:val="auto"/>
          <w:sz w:val="24"/>
          <w:szCs w:val="24"/>
        </w:rPr>
      </w:pPr>
      <w:r>
        <w:rPr>
          <w:rFonts w:hint="eastAsia" w:ascii="仿宋_GB2312" w:eastAsia="仿宋_GB2312"/>
          <w:color w:val="auto"/>
          <w:sz w:val="24"/>
          <w:szCs w:val="24"/>
        </w:rPr>
        <w:t>部门盖章：                               部门盖章：                                 单位盖章：</w:t>
      </w:r>
    </w:p>
    <w:p>
      <w:pPr>
        <w:spacing w:line="500" w:lineRule="exact"/>
        <w:rPr>
          <w:rFonts w:ascii="仿宋_GB2312" w:eastAsia="仿宋_GB2312"/>
          <w:color w:val="auto"/>
          <w:sz w:val="24"/>
          <w:szCs w:val="24"/>
        </w:rPr>
      </w:pPr>
      <w:r>
        <w:rPr>
          <w:rFonts w:hint="eastAsia" w:ascii="仿宋_GB2312" w:eastAsia="仿宋_GB2312"/>
          <w:color w:val="auto"/>
          <w:sz w:val="24"/>
          <w:szCs w:val="24"/>
        </w:rPr>
        <w:t>日期：                                   日期：                                     日期：</w:t>
      </w:r>
    </w:p>
    <w:p>
      <w:pPr>
        <w:spacing w:line="480" w:lineRule="exact"/>
        <w:rPr>
          <w:rFonts w:ascii="仿宋_GB2312" w:eastAsia="仿宋_GB2312"/>
          <w:b/>
          <w:color w:val="auto"/>
          <w:sz w:val="24"/>
          <w:szCs w:val="24"/>
        </w:rPr>
      </w:pPr>
      <w:r>
        <w:rPr>
          <w:rFonts w:hint="eastAsia" w:ascii="仿宋_GB2312" w:eastAsia="仿宋_GB2312"/>
          <w:b/>
          <w:color w:val="auto"/>
          <w:sz w:val="24"/>
          <w:szCs w:val="24"/>
        </w:rPr>
        <w:t>备注：1、具体考核单位、权重根据考核细则填列；</w:t>
      </w:r>
    </w:p>
    <w:p>
      <w:pPr>
        <w:numPr>
          <w:ilvl w:val="0"/>
          <w:numId w:val="1"/>
        </w:numPr>
        <w:spacing w:line="480" w:lineRule="exact"/>
        <w:ind w:firstLine="723" w:firstLineChars="300"/>
        <w:rPr>
          <w:rFonts w:ascii="仿宋_GB2312" w:eastAsia="仿宋_GB2312"/>
          <w:b/>
          <w:color w:val="auto"/>
          <w:sz w:val="24"/>
          <w:szCs w:val="24"/>
        </w:rPr>
      </w:pPr>
      <w:r>
        <w:rPr>
          <w:rFonts w:hint="eastAsia" w:ascii="仿宋_GB2312" w:eastAsia="仿宋_GB2312"/>
          <w:b/>
          <w:color w:val="auto"/>
          <w:sz w:val="24"/>
          <w:szCs w:val="24"/>
        </w:rPr>
        <w:t>主管部门根据本</w:t>
      </w:r>
      <w:r>
        <w:rPr>
          <w:rFonts w:hint="eastAsia" w:ascii="仿宋_GB2312" w:eastAsia="仿宋_GB2312"/>
          <w:b/>
          <w:color w:val="auto"/>
          <w:sz w:val="24"/>
          <w:szCs w:val="24"/>
          <w:lang w:eastAsia="zh-CN"/>
        </w:rPr>
        <w:t>阶段</w:t>
      </w:r>
      <w:r>
        <w:rPr>
          <w:rFonts w:hint="eastAsia" w:ascii="仿宋_GB2312" w:eastAsia="仿宋_GB2312"/>
          <w:b/>
          <w:color w:val="auto"/>
          <w:sz w:val="24"/>
          <w:szCs w:val="24"/>
        </w:rPr>
        <w:t>考核得分汇总表和考核细则，计算应付服务费，按照报销流程支付服务费；</w:t>
      </w:r>
    </w:p>
    <w:p>
      <w:pPr>
        <w:spacing w:line="480" w:lineRule="exact"/>
        <w:ind w:firstLine="723" w:firstLineChars="300"/>
        <w:rPr>
          <w:rFonts w:ascii="仿宋_GB2312" w:eastAsia="仿宋_GB2312"/>
          <w:b/>
          <w:color w:val="auto"/>
          <w:sz w:val="24"/>
          <w:szCs w:val="24"/>
        </w:rPr>
      </w:pPr>
      <w:r>
        <w:rPr>
          <w:rFonts w:hint="eastAsia" w:ascii="仿宋_GB2312" w:eastAsia="仿宋_GB2312"/>
          <w:b/>
          <w:color w:val="auto"/>
          <w:sz w:val="24"/>
          <w:szCs w:val="24"/>
        </w:rPr>
        <w:t>3、此表一式四份，使用管理</w:t>
      </w:r>
      <w:r>
        <w:rPr>
          <w:rFonts w:ascii="仿宋_GB2312" w:eastAsia="仿宋_GB2312"/>
          <w:b/>
          <w:color w:val="auto"/>
          <w:sz w:val="24"/>
          <w:szCs w:val="24"/>
        </w:rPr>
        <w:t>部门</w:t>
      </w:r>
      <w:r>
        <w:rPr>
          <w:rFonts w:hint="eastAsia" w:ascii="仿宋_GB2312" w:eastAsia="仿宋_GB2312"/>
          <w:b/>
          <w:color w:val="auto"/>
          <w:sz w:val="24"/>
          <w:szCs w:val="24"/>
        </w:rPr>
        <w:t>、主管部门、承接主体、财务</w:t>
      </w:r>
      <w:r>
        <w:rPr>
          <w:rFonts w:ascii="仿宋_GB2312" w:eastAsia="仿宋_GB2312"/>
          <w:b/>
          <w:color w:val="auto"/>
          <w:sz w:val="24"/>
          <w:szCs w:val="24"/>
        </w:rPr>
        <w:t>部门</w:t>
      </w:r>
      <w:r>
        <w:rPr>
          <w:rFonts w:hint="eastAsia" w:ascii="仿宋_GB2312" w:eastAsia="仿宋_GB2312"/>
          <w:b/>
          <w:color w:val="auto"/>
          <w:sz w:val="24"/>
          <w:szCs w:val="24"/>
        </w:rPr>
        <w:t>各执一份。</w:t>
      </w:r>
    </w:p>
    <w:p>
      <w:pPr>
        <w:pStyle w:val="2"/>
        <w:sectPr>
          <w:pgSz w:w="16838" w:h="11906" w:orient="landscape"/>
          <w:pgMar w:top="1080" w:right="1440" w:bottom="1080" w:left="1440" w:header="851" w:footer="992" w:gutter="0"/>
          <w:cols w:space="425" w:num="1"/>
          <w:docGrid w:type="lines" w:linePitch="312" w:charSpace="0"/>
        </w:sectPr>
      </w:pPr>
    </w:p>
    <w:p>
      <w:pPr>
        <w:spacing w:line="600" w:lineRule="exact"/>
        <w:jc w:val="center"/>
        <w:rPr>
          <w:rFonts w:ascii="黑体" w:hAnsi="黑体" w:eastAsia="黑体"/>
          <w:sz w:val="30"/>
          <w:szCs w:val="30"/>
        </w:rPr>
      </w:pPr>
      <w:r>
        <w:rPr>
          <w:rFonts w:hint="eastAsia" w:ascii="黑体" w:hAnsi="黑体" w:eastAsia="黑体"/>
          <w:sz w:val="30"/>
          <w:szCs w:val="30"/>
        </w:rPr>
        <w:t>松江区2025年度农田面源污染试点监测评估</w:t>
      </w:r>
      <w:r>
        <w:rPr>
          <w:rFonts w:hint="eastAsia" w:ascii="黑体" w:hAnsi="黑体" w:eastAsia="黑体"/>
          <w:sz w:val="30"/>
          <w:szCs w:val="30"/>
          <w:lang w:eastAsia="zh-CN"/>
        </w:rPr>
        <w:t>项目</w:t>
      </w:r>
      <w:r>
        <w:rPr>
          <w:rFonts w:hint="eastAsia" w:ascii="黑体" w:hAnsi="黑体" w:eastAsia="黑体"/>
          <w:sz w:val="30"/>
          <w:szCs w:val="30"/>
        </w:rPr>
        <w:t>考核评分表</w:t>
      </w:r>
    </w:p>
    <w:p>
      <w:pPr>
        <w:spacing w:line="360" w:lineRule="auto"/>
        <w:ind w:firstLine="720" w:firstLineChars="300"/>
        <w:jc w:val="left"/>
        <w:rPr>
          <w:rFonts w:ascii="宋体" w:hAnsi="宋体"/>
          <w:sz w:val="24"/>
          <w:szCs w:val="24"/>
        </w:rPr>
      </w:pPr>
      <w:r>
        <w:rPr>
          <w:rFonts w:hint="eastAsia" w:ascii="宋体" w:hAnsi="宋体"/>
          <w:sz w:val="24"/>
          <w:szCs w:val="24"/>
        </w:rPr>
        <w:t>任务名称：  松江区2025年度农田面源污染试点监测评估项目                     考核日期：</w:t>
      </w:r>
    </w:p>
    <w:tbl>
      <w:tblPr>
        <w:tblStyle w:val="7"/>
        <w:tblW w:w="14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429"/>
        <w:gridCol w:w="1551"/>
        <w:gridCol w:w="3464"/>
        <w:gridCol w:w="3522"/>
        <w:gridCol w:w="966"/>
        <w:gridCol w:w="106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序号</w:t>
            </w:r>
          </w:p>
        </w:tc>
        <w:tc>
          <w:tcPr>
            <w:tcW w:w="14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评估指标</w:t>
            </w:r>
          </w:p>
        </w:tc>
        <w:tc>
          <w:tcPr>
            <w:tcW w:w="155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评估项目</w:t>
            </w: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质量标准</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评分标准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分值</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得分</w:t>
            </w: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w:t>
            </w:r>
          </w:p>
        </w:tc>
        <w:tc>
          <w:tcPr>
            <w:tcW w:w="14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监测方案完整性</w:t>
            </w:r>
          </w:p>
        </w:tc>
        <w:tc>
          <w:tcPr>
            <w:tcW w:w="155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监测方案</w:t>
            </w: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完整性（监测点位、监测因子和方法、监测频次和样品数量等）</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无方案，扣10分；内容缺项，每项扣2分。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10</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w:t>
            </w:r>
          </w:p>
        </w:tc>
        <w:tc>
          <w:tcPr>
            <w:tcW w:w="142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仪器设备管理落实性</w:t>
            </w:r>
          </w:p>
        </w:tc>
        <w:tc>
          <w:tcPr>
            <w:tcW w:w="155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现场监测设备</w:t>
            </w: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仪器和辅助设备、样品容器、试剂耗材、现场记录表单</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缺少主要设备，扣5分；不规范每项扣2分。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仪器检定（校准）与核查</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主要设备未检定（校准），扣5分；使用前未进行核查，每项扣2分。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w:t>
            </w:r>
          </w:p>
        </w:tc>
        <w:tc>
          <w:tcPr>
            <w:tcW w:w="142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现场监测规范性</w:t>
            </w:r>
          </w:p>
        </w:tc>
        <w:tc>
          <w:tcPr>
            <w:tcW w:w="155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现场监测</w:t>
            </w: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人员能力</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监测现场至少2人具备相关技能（持证上岗），不符合扣5分。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点位布设</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不符合相关监测技术规范开展工作，扣5分；其他不规范每项扣2分。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监测（采样）频次、样品数</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不符合监测方案或相关监测技术规范，扣5分。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实施过程</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不符合相关监测技术规范，扣5分；不规范每项扣2分。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现场原始记录（打印与记录）</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可纸质打印或电子输出而未实施，扣5分；不完整每项扣2分。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安全防护</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不符合相关监测技术规范，扣5分；不规范每项扣1分。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4</w:t>
            </w:r>
          </w:p>
        </w:tc>
        <w:tc>
          <w:tcPr>
            <w:tcW w:w="14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样品管理满足性</w:t>
            </w:r>
          </w:p>
        </w:tc>
        <w:tc>
          <w:tcPr>
            <w:tcW w:w="155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样品运输保存</w:t>
            </w: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措施和条件（保存剂、避光、温度、防震、防尘、防污染等）</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不符合相关监测技术规范，扣</w:t>
            </w:r>
            <w:r>
              <w:rPr>
                <w:rFonts w:hint="eastAsia" w:ascii="宋体" w:hAnsi="宋体"/>
                <w:szCs w:val="21"/>
                <w:lang w:val="en-US" w:eastAsia="zh-CN"/>
              </w:rPr>
              <w:t>5</w:t>
            </w:r>
            <w:r>
              <w:rPr>
                <w:rFonts w:hint="eastAsia" w:ascii="宋体" w:hAnsi="宋体"/>
                <w:szCs w:val="21"/>
              </w:rPr>
              <w:t>分；不规范每项扣</w:t>
            </w:r>
            <w:r>
              <w:rPr>
                <w:rFonts w:hint="eastAsia" w:ascii="宋体" w:hAnsi="宋体"/>
                <w:szCs w:val="21"/>
                <w:lang w:val="en-US" w:eastAsia="zh-CN"/>
              </w:rPr>
              <w:t>2</w:t>
            </w:r>
            <w:r>
              <w:rPr>
                <w:rFonts w:hint="eastAsia" w:ascii="宋体" w:hAnsi="宋体"/>
                <w:szCs w:val="21"/>
              </w:rPr>
              <w:t>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Theme="minorEastAsia"/>
                <w:szCs w:val="21"/>
                <w:lang w:eastAsia="zh-CN"/>
              </w:rPr>
            </w:pPr>
            <w:r>
              <w:rPr>
                <w:rFonts w:hint="eastAsia" w:ascii="宋体" w:hAnsi="宋体"/>
                <w:szCs w:val="21"/>
                <w:lang w:val="en-US" w:eastAsia="zh-CN"/>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42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实验室分析质量控制</w:t>
            </w:r>
          </w:p>
        </w:tc>
        <w:tc>
          <w:tcPr>
            <w:tcW w:w="155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实验室分析</w:t>
            </w: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原始记录完整性</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不符合相关技术规范，扣</w:t>
            </w:r>
            <w:r>
              <w:rPr>
                <w:rFonts w:hint="eastAsia" w:ascii="宋体" w:hAnsi="宋体"/>
                <w:szCs w:val="21"/>
                <w:lang w:val="en-US" w:eastAsia="zh-CN"/>
              </w:rPr>
              <w:t>5</w:t>
            </w:r>
            <w:r>
              <w:rPr>
                <w:rFonts w:hint="eastAsia" w:ascii="宋体" w:hAnsi="宋体"/>
                <w:szCs w:val="21"/>
              </w:rPr>
              <w:t>分；原始记录填写不完整，每项扣2分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Theme="minorEastAsia"/>
                <w:szCs w:val="21"/>
                <w:lang w:eastAsia="zh-CN"/>
              </w:rPr>
            </w:pPr>
            <w:r>
              <w:rPr>
                <w:rFonts w:hint="eastAsia" w:ascii="宋体" w:hAnsi="宋体"/>
                <w:szCs w:val="21"/>
                <w:lang w:val="en-US" w:eastAsia="zh-CN"/>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量值溯源</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未使用有证标准物质，扣5分；主要设备未检定校准，扣5分。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环境条件记录</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缺少环境条件记录，每项扣2分。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仪器使用记录</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缺少仪器使用记录，每项扣2分。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样品留存</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样品未按要求留存，每项扣2分。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6</w:t>
            </w:r>
          </w:p>
        </w:tc>
        <w:tc>
          <w:tcPr>
            <w:tcW w:w="1429"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监测</w:t>
            </w:r>
            <w:r>
              <w:rPr>
                <w:rFonts w:hint="eastAsia" w:ascii="宋体" w:hAnsi="宋体"/>
                <w:szCs w:val="21"/>
                <w:lang w:eastAsia="zh-CN"/>
              </w:rPr>
              <w:t>评估</w:t>
            </w:r>
            <w:r>
              <w:rPr>
                <w:rFonts w:hint="eastAsia" w:ascii="宋体" w:hAnsi="宋体"/>
                <w:szCs w:val="21"/>
              </w:rPr>
              <w:t>报告编制</w:t>
            </w:r>
            <w:r>
              <w:rPr>
                <w:rFonts w:hint="eastAsia" w:ascii="宋体" w:hAnsi="宋体"/>
                <w:szCs w:val="21"/>
                <w:lang w:eastAsia="zh-CN"/>
              </w:rPr>
              <w:t>科学、</w:t>
            </w:r>
            <w:r>
              <w:rPr>
                <w:rFonts w:hint="eastAsia" w:ascii="宋体" w:hAnsi="宋体"/>
                <w:szCs w:val="21"/>
              </w:rPr>
              <w:t>全面性</w:t>
            </w:r>
          </w:p>
        </w:tc>
        <w:tc>
          <w:tcPr>
            <w:tcW w:w="155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Theme="minorEastAsia"/>
                <w:szCs w:val="21"/>
                <w:lang w:eastAsia="zh-CN"/>
              </w:rPr>
            </w:pPr>
            <w:r>
              <w:rPr>
                <w:rFonts w:hint="eastAsia" w:ascii="宋体" w:hAnsi="宋体"/>
                <w:szCs w:val="21"/>
              </w:rPr>
              <w:t>监测</w:t>
            </w:r>
            <w:r>
              <w:rPr>
                <w:rFonts w:hint="eastAsia" w:ascii="宋体" w:hAnsi="宋体"/>
                <w:szCs w:val="21"/>
                <w:lang w:eastAsia="zh-CN"/>
              </w:rPr>
              <w:t>部分</w:t>
            </w: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监测报告完整性</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监测报告信息不完整，每项扣1分。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监测报告一致性</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r>
              <w:rPr>
                <w:rFonts w:hint="eastAsia" w:ascii="宋体" w:hAnsi="宋体"/>
                <w:szCs w:val="21"/>
              </w:rPr>
              <w:t>监测报告信息与仪器设备使用记录不一致每项扣2分，与原始记录不一致每项扣2分。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42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Theme="minorEastAsia"/>
                <w:szCs w:val="21"/>
                <w:lang w:eastAsia="zh-CN"/>
              </w:rPr>
            </w:pPr>
            <w:r>
              <w:rPr>
                <w:rFonts w:hint="eastAsia" w:ascii="宋体" w:hAnsi="宋体"/>
                <w:szCs w:val="21"/>
                <w:lang w:eastAsia="zh-CN"/>
              </w:rPr>
              <w:t>评估部分</w:t>
            </w:r>
          </w:p>
        </w:tc>
        <w:tc>
          <w:tcPr>
            <w:tcW w:w="3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Theme="minorEastAsia"/>
                <w:szCs w:val="21"/>
                <w:lang w:eastAsia="zh-CN"/>
              </w:rPr>
            </w:pPr>
            <w:r>
              <w:rPr>
                <w:rFonts w:hint="eastAsia" w:ascii="宋体" w:hAnsi="宋体"/>
                <w:szCs w:val="21"/>
                <w:lang w:eastAsia="zh-CN"/>
              </w:rPr>
              <w:t>评估部分科学性</w:t>
            </w:r>
          </w:p>
        </w:tc>
        <w:tc>
          <w:tcPr>
            <w:tcW w:w="3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default" w:ascii="宋体" w:hAnsi="宋体" w:eastAsiaTheme="minorEastAsia"/>
                <w:szCs w:val="21"/>
                <w:lang w:val="en-US" w:eastAsia="zh-CN"/>
              </w:rPr>
            </w:pPr>
            <w:r>
              <w:rPr>
                <w:rFonts w:hint="eastAsia" w:ascii="宋体" w:hAnsi="宋体"/>
                <w:szCs w:val="21"/>
                <w:lang w:eastAsia="zh-CN"/>
              </w:rPr>
              <w:t>评估结果未通过专家评审，扣</w:t>
            </w:r>
            <w:r>
              <w:rPr>
                <w:rFonts w:hint="eastAsia" w:ascii="宋体" w:hAnsi="宋体"/>
                <w:szCs w:val="21"/>
                <w:lang w:val="en-US" w:eastAsia="zh-CN"/>
              </w:rPr>
              <w:t>10分。</w:t>
            </w:r>
          </w:p>
        </w:tc>
        <w:tc>
          <w:tcPr>
            <w:tcW w:w="9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Theme="minorEastAsia"/>
                <w:szCs w:val="21"/>
                <w:lang w:val="en-US" w:eastAsia="zh-CN"/>
              </w:rPr>
            </w:pPr>
            <w:r>
              <w:rPr>
                <w:rFonts w:hint="eastAsia" w:ascii="宋体" w:hAnsi="宋体"/>
                <w:szCs w:val="21"/>
                <w:lang w:val="en-US" w:eastAsia="zh-CN"/>
              </w:rPr>
              <w:t>10</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7" w:type="dxa"/>
            <w:gridSpan w:val="5"/>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总分</w:t>
            </w:r>
          </w:p>
        </w:tc>
        <w:tc>
          <w:tcPr>
            <w:tcW w:w="3123" w:type="dxa"/>
            <w:gridSpan w:val="3"/>
            <w:tcBorders>
              <w:top w:val="nil"/>
              <w:left w:val="single" w:color="auto" w:sz="4" w:space="0"/>
              <w:bottom w:val="single" w:color="auto" w:sz="4" w:space="0"/>
              <w:right w:val="single" w:color="auto" w:sz="4" w:space="0"/>
            </w:tcBorders>
          </w:tcPr>
          <w:p>
            <w:pPr>
              <w:widowControl/>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070" w:type="dxa"/>
            <w:gridSpan w:val="8"/>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备注：以上各分项扣分均为扣完为止，存在有弄虚作假等诚信问题时，上述检查表为零分。</w:t>
            </w:r>
          </w:p>
        </w:tc>
      </w:tr>
    </w:tbl>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sectPr>
          <w:pgSz w:w="16838" w:h="11906" w:orient="landscape"/>
          <w:pgMar w:top="1080" w:right="1440" w:bottom="1080" w:left="1440" w:header="851" w:footer="992" w:gutter="0"/>
          <w:cols w:space="425" w:num="1"/>
          <w:docGrid w:type="lines" w:linePitch="312" w:charSpace="0"/>
        </w:sectPr>
      </w:pPr>
    </w:p>
    <w:p>
      <w:pPr>
        <w:keepNext/>
        <w:keepLines/>
        <w:pageBreakBefore w:val="0"/>
        <w:widowControl w:val="0"/>
        <w:kinsoku/>
        <w:wordWrap/>
        <w:overflowPunct/>
        <w:topLinePunct w:val="0"/>
        <w:autoSpaceDE/>
        <w:autoSpaceDN/>
        <w:bidi w:val="0"/>
        <w:adjustRightInd w:val="0"/>
        <w:snapToGrid w:val="0"/>
        <w:spacing w:before="0" w:after="0" w:line="240" w:lineRule="exact"/>
        <w:jc w:val="left"/>
        <w:textAlignment w:val="auto"/>
        <w:outlineLvl w:val="9"/>
        <w:rPr>
          <w:rFonts w:hint="eastAsia" w:eastAsia="黑体"/>
          <w:b w:val="0"/>
          <w:bCs w:val="0"/>
          <w:lang w:eastAsia="zh-CN"/>
        </w:rPr>
      </w:pPr>
      <w:r>
        <w:rPr>
          <w:rFonts w:hint="eastAsia"/>
          <w:b w:val="0"/>
          <w:bCs w:val="0"/>
          <w:lang w:eastAsia="zh-CN"/>
        </w:rPr>
        <w:t>评审标准：</w:t>
      </w:r>
    </w:p>
    <w:p>
      <w:pPr>
        <w:rPr>
          <w:rFonts w:hint="eastAsia" w:ascii="宋体" w:hAnsi="宋体"/>
          <w:sz w:val="24"/>
          <w:szCs w:val="24"/>
        </w:rPr>
      </w:pPr>
    </w:p>
    <w:p>
      <w:pPr>
        <w:rPr>
          <w:rFonts w:hint="eastAsia" w:ascii="宋体" w:hAnsi="宋体"/>
          <w:sz w:val="24"/>
          <w:szCs w:val="24"/>
        </w:rPr>
      </w:pPr>
    </w:p>
    <w:tbl>
      <w:tblPr>
        <w:tblStyle w:val="7"/>
        <w:tblW w:w="9283" w:type="dxa"/>
        <w:jc w:val="center"/>
        <w:tblLayout w:type="fixed"/>
        <w:tblCellMar>
          <w:top w:w="0" w:type="dxa"/>
          <w:left w:w="108" w:type="dxa"/>
          <w:bottom w:w="0" w:type="dxa"/>
          <w:right w:w="108" w:type="dxa"/>
        </w:tblCellMar>
      </w:tblPr>
      <w:tblGrid>
        <w:gridCol w:w="1621"/>
        <w:gridCol w:w="7662"/>
      </w:tblGrid>
      <w:tr>
        <w:tblPrEx>
          <w:tblCellMar>
            <w:top w:w="0" w:type="dxa"/>
            <w:left w:w="108" w:type="dxa"/>
            <w:bottom w:w="0" w:type="dxa"/>
            <w:right w:w="108" w:type="dxa"/>
          </w:tblCellMar>
        </w:tblPrEx>
        <w:trPr>
          <w:trHeight w:val="329" w:hRule="atLeast"/>
          <w:jc w:val="center"/>
        </w:trPr>
        <w:tc>
          <w:tcPr>
            <w:tcW w:w="928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综合评分指标内容</w:t>
            </w:r>
          </w:p>
        </w:tc>
      </w:tr>
      <w:tr>
        <w:tblPrEx>
          <w:tblCellMar>
            <w:top w:w="0" w:type="dxa"/>
            <w:left w:w="108" w:type="dxa"/>
            <w:bottom w:w="0" w:type="dxa"/>
            <w:right w:w="108" w:type="dxa"/>
          </w:tblCellMar>
        </w:tblPrEx>
        <w:trPr>
          <w:trHeight w:val="285" w:hRule="atLeast"/>
          <w:jc w:val="center"/>
        </w:trPr>
        <w:tc>
          <w:tcPr>
            <w:tcW w:w="16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项目名称</w:t>
            </w:r>
          </w:p>
        </w:tc>
        <w:tc>
          <w:tcPr>
            <w:tcW w:w="766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b/>
                <w:bCs/>
                <w:kern w:val="0"/>
                <w:sz w:val="24"/>
              </w:rPr>
            </w:pPr>
          </w:p>
        </w:tc>
      </w:tr>
      <w:tr>
        <w:tblPrEx>
          <w:tblCellMar>
            <w:top w:w="0" w:type="dxa"/>
            <w:left w:w="108" w:type="dxa"/>
            <w:bottom w:w="0" w:type="dxa"/>
            <w:right w:w="108" w:type="dxa"/>
          </w:tblCellMar>
        </w:tblPrEx>
        <w:trPr>
          <w:trHeight w:val="374" w:hRule="atLeast"/>
          <w:jc w:val="center"/>
        </w:trPr>
        <w:tc>
          <w:tcPr>
            <w:tcW w:w="162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指标及分值</w:t>
            </w:r>
          </w:p>
        </w:tc>
        <w:tc>
          <w:tcPr>
            <w:tcW w:w="7662"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评分标准</w:t>
            </w:r>
          </w:p>
        </w:tc>
      </w:tr>
      <w:tr>
        <w:tblPrEx>
          <w:tblCellMar>
            <w:top w:w="0" w:type="dxa"/>
            <w:left w:w="108" w:type="dxa"/>
            <w:bottom w:w="0" w:type="dxa"/>
            <w:right w:w="108" w:type="dxa"/>
          </w:tblCellMar>
        </w:tblPrEx>
        <w:trPr>
          <w:trHeight w:val="285" w:hRule="atLeast"/>
          <w:jc w:val="center"/>
        </w:trPr>
        <w:tc>
          <w:tcPr>
            <w:tcW w:w="162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报价（万元）</w:t>
            </w:r>
          </w:p>
        </w:tc>
        <w:tc>
          <w:tcPr>
            <w:tcW w:w="7662"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b/>
                <w:bCs/>
                <w:kern w:val="0"/>
                <w:sz w:val="24"/>
              </w:rPr>
            </w:pPr>
          </w:p>
        </w:tc>
      </w:tr>
      <w:tr>
        <w:tblPrEx>
          <w:tblCellMar>
            <w:top w:w="0" w:type="dxa"/>
            <w:left w:w="108" w:type="dxa"/>
            <w:bottom w:w="0" w:type="dxa"/>
            <w:right w:w="108" w:type="dxa"/>
          </w:tblCellMar>
        </w:tblPrEx>
        <w:trPr>
          <w:trHeight w:val="570" w:hRule="atLeast"/>
          <w:jc w:val="center"/>
        </w:trPr>
        <w:tc>
          <w:tcPr>
            <w:tcW w:w="1621" w:type="dxa"/>
            <w:tcBorders>
              <w:top w:val="nil"/>
              <w:left w:val="single" w:color="auto" w:sz="4" w:space="0"/>
              <w:right w:val="single" w:color="auto" w:sz="4" w:space="0"/>
            </w:tcBorders>
            <w:noWrap/>
            <w:vAlign w:val="center"/>
          </w:tcPr>
          <w:p>
            <w:pPr>
              <w:widowControl/>
              <w:spacing w:line="200" w:lineRule="exact"/>
              <w:jc w:val="center"/>
              <w:rPr>
                <w:rFonts w:ascii="仿宋_GB2312" w:hAnsi="宋体" w:eastAsia="仿宋_GB2312"/>
                <w:kern w:val="0"/>
                <w:szCs w:val="21"/>
              </w:rPr>
            </w:pPr>
            <w:r>
              <w:rPr>
                <w:rFonts w:hint="eastAsia" w:ascii="仿宋_GB2312" w:hAnsi="宋体" w:eastAsia="仿宋_GB2312"/>
                <w:kern w:val="0"/>
                <w:szCs w:val="21"/>
              </w:rPr>
              <w:t>报价        （20分）</w:t>
            </w:r>
          </w:p>
        </w:tc>
        <w:tc>
          <w:tcPr>
            <w:tcW w:w="7662" w:type="dxa"/>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kern w:val="0"/>
                <w:szCs w:val="21"/>
              </w:rPr>
            </w:pPr>
            <w:r>
              <w:rPr>
                <w:rFonts w:hint="eastAsia" w:ascii="仿宋_GB2312" w:hAnsi="宋体" w:eastAsia="仿宋_GB2312"/>
                <w:kern w:val="0"/>
                <w:szCs w:val="21"/>
              </w:rPr>
              <w:t>满足采购文件要求且价格最低的最终报价为评审基准价，得20分。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其他供应商的价格分统一按照下列公式计算：报价得分=20×（评审基准价/最终报价）。超过最高限价金额的投标为无效投标；</w:t>
            </w:r>
          </w:p>
        </w:tc>
      </w:tr>
      <w:tr>
        <w:tblPrEx>
          <w:tblCellMar>
            <w:top w:w="0" w:type="dxa"/>
            <w:left w:w="108" w:type="dxa"/>
            <w:bottom w:w="0" w:type="dxa"/>
            <w:right w:w="108" w:type="dxa"/>
          </w:tblCellMar>
        </w:tblPrEx>
        <w:trPr>
          <w:trHeight w:val="509" w:hRule="atLeast"/>
          <w:jc w:val="center"/>
        </w:trPr>
        <w:tc>
          <w:tcPr>
            <w:tcW w:w="1621" w:type="dxa"/>
            <w:tcBorders>
              <w:top w:val="single" w:color="auto" w:sz="4" w:space="0"/>
              <w:left w:val="single" w:color="auto" w:sz="4" w:space="0"/>
              <w:bottom w:val="single" w:color="auto" w:sz="4" w:space="0"/>
              <w:right w:val="single" w:color="auto" w:sz="4" w:space="0"/>
            </w:tcBorders>
            <w:noWrap/>
            <w:vAlign w:val="center"/>
          </w:tcPr>
          <w:p>
            <w:pPr>
              <w:widowControl/>
              <w:spacing w:line="200" w:lineRule="exact"/>
              <w:jc w:val="center"/>
              <w:rPr>
                <w:rFonts w:ascii="仿宋_GB2312" w:hAnsi="宋体" w:eastAsia="仿宋_GB2312"/>
                <w:kern w:val="0"/>
                <w:szCs w:val="21"/>
              </w:rPr>
            </w:pPr>
            <w:r>
              <w:rPr>
                <w:rFonts w:hint="eastAsia" w:ascii="仿宋_GB2312" w:hAnsi="宋体" w:eastAsia="仿宋_GB2312"/>
                <w:kern w:val="0"/>
                <w:szCs w:val="21"/>
              </w:rPr>
              <w:t>整体策划方案    （20分）</w:t>
            </w:r>
          </w:p>
        </w:tc>
        <w:tc>
          <w:tcPr>
            <w:tcW w:w="7662"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根据报价供应商所提供总体服务方案中体现的方案服务内容、服务安排、重点分析等响应情况给予评价。</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总体服务方案完善，思路明确完全符合招标文件要求为好（15-20分）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总体服务方案简单，基本能满足招标文件要求为一般（7-14分）</w:t>
            </w:r>
          </w:p>
          <w:p>
            <w:pPr>
              <w:widowControl/>
              <w:spacing w:line="280" w:lineRule="exact"/>
              <w:jc w:val="left"/>
              <w:rPr>
                <w:rFonts w:ascii="仿宋_GB2312" w:hAnsi="宋体" w:eastAsia="仿宋_GB2312"/>
                <w:kern w:val="0"/>
                <w:szCs w:val="21"/>
              </w:rPr>
            </w:pPr>
            <w:r>
              <w:rPr>
                <w:rFonts w:hint="eastAsia" w:ascii="仿宋_GB2312" w:hAnsi="宋体" w:eastAsia="仿宋_GB2312"/>
                <w:kern w:val="0"/>
                <w:szCs w:val="21"/>
              </w:rPr>
              <w:t>总体服务方案不明确，不能满足招标文件要求为差（1-6分）。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_GB2312" w:hAnsi="宋体" w:eastAsia="仿宋_GB2312"/>
                <w:kern w:val="0"/>
                <w:szCs w:val="21"/>
              </w:rPr>
            </w:pPr>
            <w:r>
              <w:rPr>
                <w:rFonts w:hint="eastAsia" w:ascii="仿宋_GB2312" w:hAnsi="宋体" w:eastAsia="仿宋_GB2312"/>
                <w:kern w:val="0"/>
                <w:szCs w:val="21"/>
              </w:rPr>
              <w:t>质量保证措施       （20分）</w:t>
            </w:r>
          </w:p>
        </w:tc>
        <w:tc>
          <w:tcPr>
            <w:tcW w:w="7662" w:type="dxa"/>
            <w:tcBorders>
              <w:top w:val="nil"/>
              <w:left w:val="nil"/>
              <w:bottom w:val="single" w:color="auto" w:sz="4" w:space="0"/>
              <w:right w:val="single" w:color="auto" w:sz="4" w:space="0"/>
            </w:tcBorders>
            <w:noWrap w:val="0"/>
            <w:vAlign w:val="center"/>
          </w:tcPr>
          <w:p>
            <w:pPr>
              <w:widowControl/>
              <w:spacing w:line="280" w:lineRule="exact"/>
              <w:jc w:val="left"/>
              <w:rPr>
                <w:rFonts w:hint="eastAsia" w:eastAsia="仿宋_GB2312"/>
              </w:rPr>
            </w:pPr>
            <w:r>
              <w:rPr>
                <w:rFonts w:hint="eastAsia" w:eastAsia="仿宋_GB2312"/>
              </w:rPr>
              <w:t>根据报价供应商提供的质量保证措施情况及解决措施的综合情况进行综合评审</w:t>
            </w:r>
          </w:p>
          <w:p>
            <w:pPr>
              <w:widowControl/>
              <w:spacing w:line="280" w:lineRule="exact"/>
              <w:jc w:val="left"/>
              <w:rPr>
                <w:rFonts w:hint="eastAsia" w:eastAsia="仿宋_GB2312"/>
              </w:rPr>
            </w:pPr>
            <w:r>
              <w:rPr>
                <w:rFonts w:hint="eastAsia" w:eastAsia="仿宋_GB2312"/>
              </w:rPr>
              <w:t>质量保证分析及措施合理且完全满足需求的为好（</w:t>
            </w:r>
            <w:r>
              <w:rPr>
                <w:rFonts w:hint="eastAsia" w:ascii="仿宋_GB2312" w:hAnsi="宋体" w:eastAsia="仿宋_GB2312"/>
                <w:kern w:val="0"/>
                <w:szCs w:val="21"/>
              </w:rPr>
              <w:t>15-20分</w:t>
            </w:r>
            <w:r>
              <w:rPr>
                <w:rFonts w:hint="eastAsia" w:eastAsia="仿宋_GB2312"/>
              </w:rPr>
              <w:t>）</w:t>
            </w:r>
          </w:p>
          <w:p>
            <w:pPr>
              <w:widowControl/>
              <w:spacing w:line="280" w:lineRule="exact"/>
              <w:jc w:val="left"/>
              <w:rPr>
                <w:rFonts w:hint="eastAsia" w:eastAsia="仿宋_GB2312"/>
              </w:rPr>
            </w:pPr>
            <w:r>
              <w:rPr>
                <w:rFonts w:hint="eastAsia" w:eastAsia="仿宋_GB2312"/>
              </w:rPr>
              <w:t>质量保证分析及措施基本满足文件需求为一般（</w:t>
            </w:r>
            <w:r>
              <w:rPr>
                <w:rFonts w:hint="eastAsia" w:ascii="仿宋_GB2312" w:hAnsi="宋体" w:eastAsia="仿宋_GB2312"/>
                <w:kern w:val="0"/>
                <w:szCs w:val="21"/>
              </w:rPr>
              <w:t>7-14分</w:t>
            </w:r>
            <w:r>
              <w:rPr>
                <w:rFonts w:hint="eastAsia" w:eastAsia="仿宋_GB2312"/>
              </w:rPr>
              <w:t>）</w:t>
            </w:r>
          </w:p>
          <w:p>
            <w:pPr>
              <w:widowControl/>
              <w:spacing w:line="280" w:lineRule="exact"/>
              <w:jc w:val="left"/>
              <w:rPr>
                <w:rFonts w:hint="eastAsia" w:eastAsia="仿宋_GB2312"/>
              </w:rPr>
            </w:pPr>
            <w:r>
              <w:rPr>
                <w:rFonts w:hint="eastAsia" w:eastAsia="仿宋_GB2312"/>
              </w:rPr>
              <w:t>质量保证分析及措施不满足需求为差（</w:t>
            </w:r>
            <w:r>
              <w:rPr>
                <w:rFonts w:hint="eastAsia" w:ascii="仿宋_GB2312" w:hAnsi="宋体" w:eastAsia="仿宋_GB2312"/>
                <w:kern w:val="0"/>
                <w:szCs w:val="21"/>
              </w:rPr>
              <w:t>1-6</w:t>
            </w:r>
            <w:r>
              <w:rPr>
                <w:rFonts w:hint="eastAsia" w:eastAsia="仿宋_GB2312"/>
              </w:rPr>
              <w:t>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_GB2312" w:hAnsi="宋体" w:eastAsia="仿宋_GB2312"/>
                <w:kern w:val="0"/>
                <w:szCs w:val="21"/>
              </w:rPr>
            </w:pPr>
            <w:r>
              <w:rPr>
                <w:rFonts w:hint="eastAsia" w:ascii="仿宋_GB2312" w:hAnsi="宋体" w:eastAsia="仿宋_GB2312"/>
                <w:kern w:val="0"/>
                <w:szCs w:val="21"/>
              </w:rPr>
              <w:t>拟派项目团队人员情况    （20分）</w:t>
            </w:r>
          </w:p>
        </w:tc>
        <w:tc>
          <w:tcPr>
            <w:tcW w:w="7662"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根据拟派项目团队人员情况（含项目经理、质量负责人及其他主要人员资历、证书情况）的架构情况进行综合评审</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人员配置充足、组织架构合理得</w:t>
            </w:r>
            <w:r>
              <w:rPr>
                <w:rFonts w:hint="eastAsia" w:ascii="仿宋_GB2312" w:hAnsi="宋体" w:eastAsia="仿宋_GB2312"/>
                <w:kern w:val="0"/>
                <w:szCs w:val="21"/>
                <w:lang w:val="en-US" w:eastAsia="zh-CN"/>
              </w:rPr>
              <w:t>14</w:t>
            </w:r>
            <w:r>
              <w:rPr>
                <w:rFonts w:hint="eastAsia" w:ascii="仿宋_GB2312" w:hAnsi="宋体" w:eastAsia="仿宋_GB2312"/>
                <w:kern w:val="0"/>
                <w:szCs w:val="21"/>
              </w:rPr>
              <w:t>-</w:t>
            </w:r>
            <w:r>
              <w:rPr>
                <w:rFonts w:hint="eastAsia" w:ascii="仿宋_GB2312" w:hAnsi="宋体" w:eastAsia="仿宋_GB2312"/>
                <w:kern w:val="0"/>
                <w:szCs w:val="21"/>
                <w:lang w:val="en-US" w:eastAsia="zh-CN"/>
              </w:rPr>
              <w:t>20</w:t>
            </w:r>
            <w:r>
              <w:rPr>
                <w:rFonts w:hint="eastAsia" w:ascii="仿宋_GB2312" w:hAnsi="宋体" w:eastAsia="仿宋_GB2312"/>
                <w:kern w:val="0"/>
                <w:szCs w:val="21"/>
              </w:rPr>
              <w:t>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人员配置不够完善、组织架构简单得</w:t>
            </w:r>
            <w:r>
              <w:rPr>
                <w:rFonts w:hint="eastAsia" w:ascii="仿宋_GB2312" w:hAnsi="宋体" w:eastAsia="仿宋_GB2312"/>
                <w:kern w:val="0"/>
                <w:szCs w:val="21"/>
                <w:lang w:val="en-US" w:eastAsia="zh-CN"/>
              </w:rPr>
              <w:t>7</w:t>
            </w:r>
            <w:r>
              <w:rPr>
                <w:rFonts w:hint="eastAsia" w:ascii="仿宋_GB2312" w:hAnsi="宋体" w:eastAsia="仿宋_GB2312"/>
                <w:kern w:val="0"/>
                <w:szCs w:val="21"/>
              </w:rPr>
              <w:t>-</w:t>
            </w:r>
            <w:r>
              <w:rPr>
                <w:rFonts w:hint="eastAsia" w:ascii="仿宋_GB2312" w:hAnsi="宋体" w:eastAsia="仿宋_GB2312"/>
                <w:kern w:val="0"/>
                <w:szCs w:val="21"/>
                <w:lang w:val="en-US" w:eastAsia="zh-CN"/>
              </w:rPr>
              <w:t>13</w:t>
            </w:r>
            <w:r>
              <w:rPr>
                <w:rFonts w:hint="eastAsia" w:ascii="仿宋_GB2312" w:hAnsi="宋体" w:eastAsia="仿宋_GB2312"/>
                <w:kern w:val="0"/>
                <w:szCs w:val="21"/>
              </w:rPr>
              <w:t>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人员配置、组织架构不够明确得1-</w:t>
            </w:r>
            <w:r>
              <w:rPr>
                <w:rFonts w:hint="eastAsia" w:ascii="仿宋_GB2312" w:hAnsi="宋体" w:eastAsia="仿宋_GB2312"/>
                <w:kern w:val="0"/>
                <w:szCs w:val="21"/>
                <w:lang w:val="en-US" w:eastAsia="zh-CN"/>
              </w:rPr>
              <w:t>6</w:t>
            </w:r>
            <w:r>
              <w:rPr>
                <w:rFonts w:hint="eastAsia" w:ascii="仿宋_GB2312" w:hAnsi="宋体" w:eastAsia="仿宋_GB2312"/>
                <w:kern w:val="0"/>
                <w:szCs w:val="21"/>
              </w:rPr>
              <w:t>分；</w:t>
            </w:r>
          </w:p>
        </w:tc>
      </w:tr>
      <w:tr>
        <w:tblPrEx>
          <w:tblCellMar>
            <w:top w:w="0" w:type="dxa"/>
            <w:left w:w="108" w:type="dxa"/>
            <w:bottom w:w="0" w:type="dxa"/>
            <w:right w:w="108" w:type="dxa"/>
          </w:tblCellMar>
        </w:tblPrEx>
        <w:trPr>
          <w:trHeight w:val="105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_GB2312" w:hAnsi="宋体" w:eastAsia="仿宋_GB2312"/>
                <w:kern w:val="0"/>
                <w:szCs w:val="21"/>
              </w:rPr>
            </w:pPr>
            <w:r>
              <w:rPr>
                <w:rFonts w:hint="eastAsia" w:ascii="仿宋_GB2312" w:hAnsi="宋体" w:eastAsia="仿宋_GB2312"/>
                <w:kern w:val="0"/>
                <w:szCs w:val="21"/>
              </w:rPr>
              <w:t>服务承诺     （10分）</w:t>
            </w:r>
          </w:p>
        </w:tc>
        <w:tc>
          <w:tcPr>
            <w:tcW w:w="7662"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根据报价供应商提供的服务承诺及合理化建议进行综合评审</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服务承诺优于文件要求及合理化建议可行为好（7-10分）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服务承诺基本满足文件要求及合理化建议较好为一般（4-6分）</w:t>
            </w:r>
          </w:p>
          <w:p>
            <w:pPr>
              <w:widowControl/>
              <w:spacing w:line="280" w:lineRule="exact"/>
              <w:jc w:val="left"/>
              <w:rPr>
                <w:rFonts w:ascii="仿宋_GB2312" w:hAnsi="宋体" w:eastAsia="仿宋_GB2312"/>
                <w:kern w:val="0"/>
                <w:szCs w:val="21"/>
              </w:rPr>
            </w:pPr>
            <w:r>
              <w:rPr>
                <w:rFonts w:hint="eastAsia" w:ascii="仿宋_GB2312" w:hAnsi="宋体" w:eastAsia="仿宋_GB2312"/>
                <w:kern w:val="0"/>
                <w:szCs w:val="21"/>
              </w:rPr>
              <w:t>服务承诺不能满足文件要求及合理化建议不可行为差（1-3分）</w:t>
            </w:r>
          </w:p>
        </w:tc>
      </w:tr>
      <w:tr>
        <w:tblPrEx>
          <w:tblCellMar>
            <w:top w:w="0" w:type="dxa"/>
            <w:left w:w="108" w:type="dxa"/>
            <w:bottom w:w="0" w:type="dxa"/>
            <w:right w:w="108" w:type="dxa"/>
          </w:tblCellMar>
        </w:tblPrEx>
        <w:trPr>
          <w:trHeight w:val="378" w:hRule="atLeast"/>
          <w:jc w:val="center"/>
        </w:trPr>
        <w:tc>
          <w:tcPr>
            <w:tcW w:w="1621" w:type="dxa"/>
            <w:tcBorders>
              <w:top w:val="single" w:color="auto" w:sz="4" w:space="0"/>
              <w:left w:val="single" w:color="auto" w:sz="4" w:space="0"/>
              <w:right w:val="single" w:color="auto" w:sz="4" w:space="0"/>
            </w:tcBorders>
            <w:noWrap w:val="0"/>
            <w:vAlign w:val="center"/>
          </w:tcPr>
          <w:p>
            <w:pPr>
              <w:widowControl/>
              <w:spacing w:line="200" w:lineRule="exact"/>
              <w:jc w:val="center"/>
              <w:rPr>
                <w:rFonts w:ascii="仿宋_GB2312" w:hAnsi="宋体" w:eastAsia="仿宋_GB2312"/>
                <w:kern w:val="0"/>
                <w:szCs w:val="21"/>
              </w:rPr>
            </w:pPr>
            <w:r>
              <w:rPr>
                <w:rFonts w:hint="eastAsia" w:ascii="仿宋_GB2312" w:hAnsi="宋体" w:eastAsia="仿宋_GB2312"/>
                <w:kern w:val="0"/>
                <w:szCs w:val="21"/>
              </w:rPr>
              <w:t>业绩状况   （10分）</w:t>
            </w:r>
          </w:p>
        </w:tc>
        <w:tc>
          <w:tcPr>
            <w:tcW w:w="766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kern w:val="0"/>
                <w:szCs w:val="21"/>
              </w:rPr>
            </w:pPr>
            <w:r>
              <w:rPr>
                <w:rFonts w:hint="eastAsia" w:ascii="仿宋_GB2312" w:hAnsi="宋体" w:eastAsia="仿宋_GB2312"/>
                <w:kern w:val="0"/>
                <w:szCs w:val="21"/>
              </w:rPr>
              <w:t>近三年来完成类似业绩情况</w:t>
            </w:r>
            <w:r>
              <w:rPr>
                <w:rFonts w:hint="eastAsia" w:ascii="仿宋_GB2312" w:hAnsi="仿宋_GB2312" w:eastAsia="仿宋_GB2312" w:cs="仿宋_GB2312"/>
                <w:color w:val="000000"/>
                <w:kern w:val="0"/>
                <w:szCs w:val="21"/>
              </w:rPr>
              <w:t>（以合同或者中标通知书扫描件件等相关证明材料为准）</w:t>
            </w:r>
            <w:r>
              <w:rPr>
                <w:rFonts w:hint="eastAsia" w:ascii="仿宋_GB2312" w:hAnsi="宋体" w:eastAsia="仿宋_GB2312"/>
                <w:kern w:val="0"/>
                <w:szCs w:val="21"/>
              </w:rPr>
              <w:t>，每提供一个得2分，最高得10分。</w:t>
            </w:r>
          </w:p>
        </w:tc>
      </w:tr>
      <w:tr>
        <w:tblPrEx>
          <w:tblCellMar>
            <w:top w:w="0" w:type="dxa"/>
            <w:left w:w="108" w:type="dxa"/>
            <w:bottom w:w="0" w:type="dxa"/>
            <w:right w:w="108" w:type="dxa"/>
          </w:tblCellMar>
        </w:tblPrEx>
        <w:trPr>
          <w:trHeight w:val="517" w:hRule="atLeast"/>
          <w:jc w:val="center"/>
        </w:trPr>
        <w:tc>
          <w:tcPr>
            <w:tcW w:w="928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综合评定分数（100分）　</w:t>
            </w:r>
          </w:p>
        </w:tc>
      </w:tr>
    </w:tbl>
    <w:p>
      <w:bookmarkStart w:id="0" w:name="_GoBack"/>
      <w:bookmarkEnd w:id="0"/>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B9055"/>
    <w:multiLevelType w:val="singleLevel"/>
    <w:tmpl w:val="EAEB905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AF22B"/>
    <w:rsid w:val="17FEA923"/>
    <w:rsid w:val="1EABEB1F"/>
    <w:rsid w:val="33F8E1AD"/>
    <w:rsid w:val="3EFD07D9"/>
    <w:rsid w:val="3FD7ACB9"/>
    <w:rsid w:val="3FF4BAEB"/>
    <w:rsid w:val="5737968F"/>
    <w:rsid w:val="5FBFDC72"/>
    <w:rsid w:val="5FFEA7BD"/>
    <w:rsid w:val="69DAD02D"/>
    <w:rsid w:val="774FA8B7"/>
    <w:rsid w:val="77FAF22B"/>
    <w:rsid w:val="7BAF26AD"/>
    <w:rsid w:val="7BFFE611"/>
    <w:rsid w:val="7F7FB70F"/>
    <w:rsid w:val="7FCB5065"/>
    <w:rsid w:val="BE110542"/>
    <w:rsid w:val="CB9FA604"/>
    <w:rsid w:val="DDFE7901"/>
    <w:rsid w:val="E4FD49A8"/>
    <w:rsid w:val="F7FF1353"/>
    <w:rsid w:val="F7FFBA99"/>
    <w:rsid w:val="FEFF8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方正小标宋简体" w:hAnsi="方正小标宋简体" w:eastAsia="方正小标宋简体"/>
      <w:kern w:val="44"/>
      <w:sz w:val="44"/>
    </w:rPr>
  </w:style>
  <w:style w:type="paragraph" w:styleId="2">
    <w:name w:val="heading 2"/>
    <w:basedOn w:val="1"/>
    <w:next w:val="1"/>
    <w:semiHidden/>
    <w:unhideWhenUsed/>
    <w:qFormat/>
    <w:uiPriority w:val="0"/>
    <w:pPr>
      <w:keepNext/>
      <w:keepLines/>
      <w:spacing w:beforeLines="0" w:beforeAutospacing="0" w:afterLines="0" w:afterAutospacing="0" w:line="560" w:lineRule="exact"/>
      <w:outlineLvl w:val="1"/>
    </w:pPr>
    <w:rPr>
      <w:rFonts w:ascii="黑体" w:hAnsi="黑体"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ascii="楷体_GB2312" w:hAnsi="楷体_GB2312" w:eastAsia="楷体_GB2312"/>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1"/>
    <w:pPr>
      <w:spacing w:after="120"/>
    </w:pPr>
    <w:rPr>
      <w:szCs w:val="24"/>
    </w:rPr>
  </w:style>
  <w:style w:type="paragraph" w:styleId="6">
    <w:name w:val="Body Text First Indent"/>
    <w:basedOn w:val="5"/>
    <w:qFormat/>
    <w:uiPriority w:val="0"/>
    <w:pPr>
      <w:ind w:firstLine="420" w:firstLineChars="100"/>
    </w:pPr>
    <w:rPr>
      <w:szCs w:val="24"/>
    </w:rPr>
  </w:style>
  <w:style w:type="table" w:styleId="8">
    <w:name w:val="Table Grid"/>
    <w:basedOn w:val="7"/>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2025-05-07T02:35:00Z</dcterms:created>
  <dc:creator>YANG Fan</dc:creator>
  <cp:lastModifiedBy>user</cp:lastModifiedBy>
  <dcterms:modified xsi:type="dcterms:W3CDTF">2025-05-07T13:47:09Z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FB5CB57187EF62CEFABC1A68C7D70C7F</vt:lpwstr>
  </property>
</Properties>
</file>