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after="156" w:afterLines="50" w:line="46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附件：</w:t>
      </w:r>
    </w:p>
    <w:p>
      <w:pPr>
        <w:keepNext w:val="0"/>
        <w:keepLines w:val="0"/>
        <w:pageBreakBefore w:val="0"/>
        <w:widowControl w:val="0"/>
        <w:kinsoku/>
        <w:wordWrap/>
        <w:overflowPunct/>
        <w:topLinePunct w:val="0"/>
        <w:autoSpaceDE/>
        <w:autoSpaceDN/>
        <w:bidi w:val="0"/>
        <w:snapToGrid/>
        <w:spacing w:after="156" w:afterLines="50" w:line="460" w:lineRule="exact"/>
        <w:jc w:val="center"/>
        <w:rPr>
          <w:rFonts w:hint="eastAsia" w:ascii="方正小标宋简体" w:hAnsi="方正小标宋简体" w:eastAsia="方正小标宋简体" w:cs="方正小标宋简体"/>
          <w:bCs/>
          <w:color w:val="000000"/>
          <w:sz w:val="36"/>
          <w:szCs w:val="36"/>
          <w:highlight w:val="none"/>
          <w:lang w:eastAsia="zh-CN"/>
        </w:rPr>
      </w:pPr>
      <w:r>
        <w:rPr>
          <w:rFonts w:hint="eastAsia" w:ascii="方正小标宋简体" w:hAnsi="方正小标宋简体" w:eastAsia="方正小标宋简体" w:cs="方正小标宋简体"/>
          <w:bCs/>
          <w:color w:val="000000"/>
          <w:sz w:val="36"/>
          <w:szCs w:val="36"/>
          <w:highlight w:val="none"/>
          <w:lang w:eastAsia="zh-CN"/>
        </w:rPr>
        <w:t>采购需求</w:t>
      </w:r>
    </w:p>
    <w:p>
      <w:pPr>
        <w:keepNext w:val="0"/>
        <w:keepLines w:val="0"/>
        <w:pageBreakBefore w:val="0"/>
        <w:widowControl w:val="0"/>
        <w:numPr>
          <w:ilvl w:val="0"/>
          <w:numId w:val="1"/>
        </w:numPr>
        <w:kinsoku/>
        <w:wordWrap/>
        <w:overflowPunct/>
        <w:topLinePunct w:val="0"/>
        <w:autoSpaceDE/>
        <w:autoSpaceDN/>
        <w:bidi w:val="0"/>
        <w:snapToGrid/>
        <w:spacing w:line="460" w:lineRule="exact"/>
        <w:ind w:firstLine="560" w:firstLineChars="200"/>
        <w:rPr>
          <w:rFonts w:hint="eastAsia" w:ascii="CESI黑体-GB13000" w:hAnsi="CESI黑体-GB13000" w:eastAsia="CESI黑体-GB13000" w:cs="CESI黑体-GB13000"/>
          <w:bCs/>
          <w:color w:val="000000"/>
          <w:sz w:val="28"/>
          <w:szCs w:val="28"/>
          <w:highlight w:val="none"/>
        </w:rPr>
      </w:pPr>
      <w:r>
        <w:rPr>
          <w:rFonts w:hint="eastAsia" w:ascii="CESI黑体-GB13000" w:hAnsi="CESI黑体-GB13000" w:eastAsia="CESI黑体-GB13000" w:cs="CESI黑体-GB13000"/>
          <w:bCs/>
          <w:color w:val="000000"/>
          <w:sz w:val="28"/>
          <w:szCs w:val="28"/>
          <w:highlight w:val="none"/>
        </w:rPr>
        <w:t>项目概况</w:t>
      </w:r>
    </w:p>
    <w:p>
      <w:pPr>
        <w:keepNext w:val="0"/>
        <w:keepLines w:val="0"/>
        <w:pageBreakBefore w:val="0"/>
        <w:widowControl w:val="0"/>
        <w:kinsoku/>
        <w:wordWrap/>
        <w:overflowPunct/>
        <w:topLinePunct w:val="0"/>
        <w:autoSpaceDE/>
        <w:autoSpaceDN/>
        <w:bidi w:val="0"/>
        <w:snapToGrid/>
        <w:spacing w:line="460" w:lineRule="exact"/>
        <w:ind w:firstLine="560" w:firstLineChars="20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服务周期：合同签订后至202</w:t>
      </w: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t>年12月31日</w:t>
      </w:r>
    </w:p>
    <w:p>
      <w:pPr>
        <w:keepNext w:val="0"/>
        <w:keepLines w:val="0"/>
        <w:pageBreakBefore w:val="0"/>
        <w:widowControl w:val="0"/>
        <w:kinsoku/>
        <w:wordWrap/>
        <w:overflowPunct/>
        <w:topLinePunct w:val="0"/>
        <w:autoSpaceDE/>
        <w:autoSpaceDN/>
        <w:bidi w:val="0"/>
        <w:snapToGrid/>
        <w:spacing w:line="460" w:lineRule="exact"/>
        <w:ind w:firstLine="560" w:firstLineChars="200"/>
        <w:rPr>
          <w:rFonts w:hint="eastAsia" w:ascii="仿宋_GB2312" w:hAnsi="仿宋_GB2312" w:eastAsia="仿宋_GB2312" w:cs="仿宋_GB2312"/>
          <w:bCs/>
          <w:color w:val="000000"/>
          <w:sz w:val="28"/>
          <w:szCs w:val="28"/>
          <w:highlight w:val="none"/>
          <w:lang w:eastAsia="zh-CN"/>
        </w:rPr>
      </w:pPr>
      <w:r>
        <w:rPr>
          <w:rFonts w:hint="eastAsia" w:ascii="仿宋_GB2312" w:hAnsi="仿宋_GB2312" w:eastAsia="仿宋_GB2312" w:cs="仿宋_GB2312"/>
          <w:bCs/>
          <w:color w:val="000000"/>
          <w:sz w:val="28"/>
          <w:szCs w:val="28"/>
          <w:highlight w:val="none"/>
          <w:lang w:eastAsia="zh-CN"/>
        </w:rPr>
        <w:t>通过对企业</w:t>
      </w:r>
      <w:r>
        <w:rPr>
          <w:rFonts w:hint="eastAsia" w:ascii="仿宋_GB2312" w:hAnsi="仿宋_GB2312" w:eastAsia="仿宋_GB2312" w:cs="仿宋_GB2312"/>
          <w:bCs/>
          <w:color w:val="000000"/>
          <w:sz w:val="28"/>
          <w:szCs w:val="28"/>
          <w:highlight w:val="none"/>
        </w:rPr>
        <w:t>隐患排查整改</w:t>
      </w:r>
      <w:r>
        <w:rPr>
          <w:rFonts w:hint="eastAsia" w:ascii="仿宋_GB2312" w:hAnsi="仿宋_GB2312" w:eastAsia="仿宋_GB2312" w:cs="仿宋_GB2312"/>
          <w:bCs/>
          <w:color w:val="000000"/>
          <w:sz w:val="28"/>
          <w:szCs w:val="28"/>
          <w:highlight w:val="none"/>
          <w:lang w:eastAsia="zh-CN"/>
        </w:rPr>
        <w:t>情况评判，督促企业及时完成问题整改，</w:t>
      </w:r>
      <w:r>
        <w:rPr>
          <w:rFonts w:hint="eastAsia" w:ascii="仿宋_GB2312" w:hAnsi="仿宋_GB2312" w:eastAsia="仿宋_GB2312" w:cs="仿宋_GB2312"/>
          <w:bCs/>
          <w:color w:val="000000"/>
          <w:sz w:val="28"/>
          <w:szCs w:val="28"/>
          <w:highlight w:val="none"/>
        </w:rPr>
        <w:t>切实提高隐患排查</w:t>
      </w:r>
      <w:r>
        <w:rPr>
          <w:rFonts w:hint="eastAsia" w:ascii="仿宋_GB2312" w:hAnsi="仿宋_GB2312" w:eastAsia="仿宋_GB2312" w:cs="仿宋_GB2312"/>
          <w:bCs/>
          <w:color w:val="000000"/>
          <w:sz w:val="28"/>
          <w:szCs w:val="28"/>
          <w:highlight w:val="none"/>
          <w:lang w:eastAsia="zh-CN"/>
        </w:rPr>
        <w:t>和自行监测的</w:t>
      </w:r>
      <w:r>
        <w:rPr>
          <w:rFonts w:hint="eastAsia" w:ascii="仿宋_GB2312" w:hAnsi="仿宋_GB2312" w:eastAsia="仿宋_GB2312" w:cs="仿宋_GB2312"/>
          <w:bCs/>
          <w:color w:val="000000"/>
          <w:sz w:val="28"/>
          <w:szCs w:val="28"/>
          <w:highlight w:val="none"/>
        </w:rPr>
        <w:t>工作质量</w:t>
      </w:r>
      <w:r>
        <w:rPr>
          <w:rFonts w:hint="eastAsia" w:ascii="仿宋_GB2312" w:hAnsi="仿宋_GB2312" w:eastAsia="仿宋_GB2312" w:cs="仿宋_GB2312"/>
          <w:bCs/>
          <w:color w:val="000000"/>
          <w:sz w:val="28"/>
          <w:szCs w:val="28"/>
          <w:highlight w:val="none"/>
          <w:lang w:eastAsia="zh-CN"/>
        </w:rPr>
        <w:t>，进一步压实土壤污染重点监管单位主体责任，消除一批土壤污染隐患，</w:t>
      </w:r>
      <w:r>
        <w:rPr>
          <w:rFonts w:hint="eastAsia" w:ascii="仿宋_GB2312" w:hAnsi="仿宋_GB2312" w:eastAsia="仿宋_GB2312" w:cs="仿宋_GB2312"/>
          <w:bCs/>
          <w:color w:val="000000"/>
          <w:sz w:val="28"/>
          <w:szCs w:val="28"/>
          <w:highlight w:val="none"/>
        </w:rPr>
        <w:t>降低后期</w:t>
      </w:r>
      <w:r>
        <w:rPr>
          <w:rFonts w:hint="eastAsia" w:ascii="仿宋_GB2312" w:hAnsi="仿宋_GB2312" w:eastAsia="仿宋_GB2312" w:cs="仿宋_GB2312"/>
          <w:bCs/>
          <w:color w:val="000000"/>
          <w:sz w:val="28"/>
          <w:szCs w:val="28"/>
          <w:highlight w:val="none"/>
          <w:lang w:eastAsia="zh-CN"/>
        </w:rPr>
        <w:t>土地</w:t>
      </w:r>
      <w:r>
        <w:rPr>
          <w:rFonts w:hint="eastAsia" w:ascii="仿宋_GB2312" w:hAnsi="仿宋_GB2312" w:eastAsia="仿宋_GB2312" w:cs="仿宋_GB2312"/>
          <w:bCs/>
          <w:color w:val="000000"/>
          <w:sz w:val="28"/>
          <w:szCs w:val="28"/>
          <w:highlight w:val="none"/>
        </w:rPr>
        <w:t>治理修复成本，</w:t>
      </w:r>
      <w:r>
        <w:rPr>
          <w:rFonts w:hint="eastAsia" w:ascii="仿宋_GB2312" w:hAnsi="仿宋_GB2312" w:eastAsia="仿宋_GB2312" w:cs="仿宋_GB2312"/>
          <w:bCs/>
          <w:color w:val="000000"/>
          <w:sz w:val="28"/>
          <w:szCs w:val="28"/>
          <w:highlight w:val="none"/>
          <w:lang w:eastAsia="zh-CN"/>
        </w:rPr>
        <w:t>减轻企业负担。</w:t>
      </w:r>
    </w:p>
    <w:p>
      <w:pPr>
        <w:keepNext w:val="0"/>
        <w:keepLines w:val="0"/>
        <w:pageBreakBefore w:val="0"/>
        <w:widowControl w:val="0"/>
        <w:kinsoku/>
        <w:wordWrap/>
        <w:overflowPunct/>
        <w:topLinePunct w:val="0"/>
        <w:autoSpaceDE/>
        <w:autoSpaceDN/>
        <w:bidi w:val="0"/>
        <w:snapToGrid/>
        <w:spacing w:line="460" w:lineRule="exact"/>
        <w:ind w:firstLine="560" w:firstLineChars="200"/>
        <w:rPr>
          <w:rFonts w:hint="default" w:ascii="仿宋_GB2312" w:hAnsi="仿宋_GB2312" w:eastAsia="仿宋_GB2312" w:cs="仿宋_GB2312"/>
          <w:bCs/>
          <w:color w:val="000000"/>
          <w:sz w:val="28"/>
          <w:szCs w:val="28"/>
          <w:highlight w:val="none"/>
          <w:lang w:val="en" w:eastAsia="zh-CN"/>
        </w:rPr>
      </w:pPr>
      <w:r>
        <w:rPr>
          <w:rFonts w:hint="eastAsia" w:ascii="仿宋_GB2312" w:hAnsi="仿宋_GB2312" w:eastAsia="仿宋_GB2312" w:cs="仿宋_GB2312"/>
          <w:bCs/>
          <w:color w:val="000000"/>
          <w:sz w:val="28"/>
          <w:szCs w:val="28"/>
          <w:highlight w:val="none"/>
        </w:rPr>
        <w:t>土壤污染重点监管单位隐患排查整改合格率</w:t>
      </w:r>
      <w:r>
        <w:rPr>
          <w:rFonts w:hint="eastAsia" w:ascii="仿宋_GB2312" w:hAnsi="仿宋_GB2312" w:eastAsia="仿宋_GB2312" w:cs="仿宋_GB2312"/>
          <w:bCs/>
          <w:color w:val="000000"/>
          <w:sz w:val="28"/>
          <w:szCs w:val="28"/>
          <w:highlight w:val="none"/>
          <w:lang w:eastAsia="zh-CN"/>
        </w:rPr>
        <w:t>已</w:t>
      </w:r>
      <w:r>
        <w:rPr>
          <w:rFonts w:hint="eastAsia" w:ascii="仿宋_GB2312" w:hAnsi="仿宋_GB2312" w:eastAsia="仿宋_GB2312" w:cs="仿宋_GB2312"/>
          <w:bCs/>
          <w:color w:val="000000"/>
          <w:sz w:val="28"/>
          <w:szCs w:val="28"/>
          <w:highlight w:val="none"/>
        </w:rPr>
        <w:t>纳入《土壤污染源头防控行动计划》</w:t>
      </w:r>
      <w:r>
        <w:rPr>
          <w:rFonts w:hint="eastAsia" w:ascii="仿宋_GB2312" w:hAnsi="仿宋_GB2312" w:eastAsia="仿宋_GB2312" w:cs="仿宋_GB2312"/>
          <w:bCs/>
          <w:color w:val="000000"/>
          <w:sz w:val="28"/>
          <w:szCs w:val="28"/>
          <w:highlight w:val="none"/>
          <w:lang w:eastAsia="zh-CN"/>
        </w:rPr>
        <w:t>《上海市土壤及地下水污染防治“十五五”规划》</w:t>
      </w:r>
      <w:r>
        <w:rPr>
          <w:rFonts w:hint="eastAsia" w:ascii="仿宋_GB2312" w:hAnsi="仿宋_GB2312" w:eastAsia="仿宋_GB2312" w:cs="仿宋_GB2312"/>
          <w:bCs/>
          <w:color w:val="000000"/>
          <w:sz w:val="28"/>
          <w:szCs w:val="28"/>
          <w:highlight w:val="none"/>
        </w:rPr>
        <w:t>目标</w:t>
      </w:r>
      <w:r>
        <w:rPr>
          <w:rFonts w:hint="eastAsia" w:ascii="仿宋_GB2312" w:hAnsi="仿宋_GB2312" w:eastAsia="仿宋_GB2312" w:cs="仿宋_GB2312"/>
          <w:bCs/>
          <w:color w:val="000000"/>
          <w:sz w:val="28"/>
          <w:szCs w:val="28"/>
          <w:highlight w:val="none"/>
          <w:lang w:eastAsia="zh-CN"/>
        </w:rPr>
        <w:t>任务，“十五五”期间隐患排查整改合格率预期</w:t>
      </w:r>
      <w:r>
        <w:rPr>
          <w:rFonts w:hint="eastAsia" w:ascii="仿宋_GB2312" w:hAnsi="仿宋_GB2312" w:eastAsia="仿宋_GB2312" w:cs="仿宋_GB2312"/>
          <w:bCs/>
          <w:color w:val="000000"/>
          <w:sz w:val="28"/>
          <w:szCs w:val="28"/>
          <w:highlight w:val="none"/>
          <w:lang w:val="en-US" w:eastAsia="zh-CN"/>
        </w:rPr>
        <w:t>达到95%。</w:t>
      </w:r>
    </w:p>
    <w:p>
      <w:pPr>
        <w:keepNext w:val="0"/>
        <w:keepLines w:val="0"/>
        <w:pageBreakBefore w:val="0"/>
        <w:widowControl w:val="0"/>
        <w:numPr>
          <w:ilvl w:val="0"/>
          <w:numId w:val="1"/>
        </w:numPr>
        <w:kinsoku/>
        <w:wordWrap/>
        <w:overflowPunct/>
        <w:topLinePunct w:val="0"/>
        <w:autoSpaceDE/>
        <w:autoSpaceDN/>
        <w:bidi w:val="0"/>
        <w:snapToGrid/>
        <w:spacing w:line="460" w:lineRule="exact"/>
        <w:ind w:firstLine="560" w:firstLineChars="200"/>
        <w:rPr>
          <w:rFonts w:hint="eastAsia" w:ascii="CESI黑体-GB13000" w:hAnsi="CESI黑体-GB13000" w:eastAsia="CESI黑体-GB13000" w:cs="CESI黑体-GB13000"/>
          <w:bCs/>
          <w:color w:val="000000"/>
          <w:sz w:val="28"/>
          <w:szCs w:val="28"/>
          <w:highlight w:val="none"/>
        </w:rPr>
      </w:pPr>
      <w:r>
        <w:rPr>
          <w:rFonts w:hint="eastAsia" w:ascii="CESI黑体-GB13000" w:hAnsi="CESI黑体-GB13000" w:eastAsia="CESI黑体-GB13000" w:cs="CESI黑体-GB13000"/>
          <w:bCs/>
          <w:color w:val="000000"/>
          <w:sz w:val="28"/>
          <w:szCs w:val="28"/>
          <w:highlight w:val="none"/>
        </w:rPr>
        <w:t>项目内容</w:t>
      </w:r>
    </w:p>
    <w:p>
      <w:pPr>
        <w:keepNext w:val="0"/>
        <w:keepLines w:val="0"/>
        <w:pageBreakBefore w:val="0"/>
        <w:widowControl w:val="0"/>
        <w:kinsoku/>
        <w:wordWrap/>
        <w:overflowPunct/>
        <w:topLinePunct w:val="0"/>
        <w:autoSpaceDE/>
        <w:autoSpaceDN/>
        <w:bidi w:val="0"/>
        <w:snapToGrid/>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根据《关于开展土壤污染重点监管单位隐患排查整改合格率试算工作的函》</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土壤函〔2025〕4号</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重点监管单位土壤</w:t>
      </w:r>
      <w:r>
        <w:rPr>
          <w:rFonts w:hint="eastAsia" w:ascii="仿宋_GB2312" w:hAnsi="仿宋_GB2312" w:eastAsia="仿宋_GB2312" w:cs="仿宋_GB2312"/>
          <w:sz w:val="28"/>
          <w:szCs w:val="28"/>
          <w:highlight w:val="none"/>
          <w:lang w:eastAsia="zh-CN"/>
        </w:rPr>
        <w:t>和地下水</w:t>
      </w:r>
      <w:r>
        <w:rPr>
          <w:rFonts w:hint="eastAsia" w:ascii="仿宋_GB2312" w:hAnsi="仿宋_GB2312" w:eastAsia="仿宋_GB2312" w:cs="仿宋_GB2312"/>
          <w:sz w:val="28"/>
          <w:szCs w:val="28"/>
          <w:highlight w:val="none"/>
        </w:rPr>
        <w:t>污染隐患排查</w:t>
      </w:r>
      <w:r>
        <w:rPr>
          <w:rFonts w:hint="eastAsia" w:ascii="仿宋_GB2312" w:hAnsi="仿宋_GB2312" w:eastAsia="仿宋_GB2312" w:cs="仿宋_GB2312"/>
          <w:sz w:val="28"/>
          <w:szCs w:val="28"/>
          <w:highlight w:val="none"/>
          <w:lang w:eastAsia="zh-CN"/>
        </w:rPr>
        <w:t>整治</w:t>
      </w:r>
      <w:r>
        <w:rPr>
          <w:rFonts w:hint="eastAsia" w:ascii="仿宋_GB2312" w:hAnsi="仿宋_GB2312" w:eastAsia="仿宋_GB2312" w:cs="仿宋_GB2312"/>
          <w:sz w:val="28"/>
          <w:szCs w:val="28"/>
          <w:highlight w:val="none"/>
        </w:rPr>
        <w:t>技术指南</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HJ 1478-2026</w:t>
      </w:r>
      <w:r>
        <w:rPr>
          <w:rFonts w:hint="eastAsia" w:ascii="仿宋_GB2312" w:hAnsi="仿宋_GB2312" w:eastAsia="仿宋_GB2312" w:cs="仿宋_GB2312"/>
          <w:sz w:val="28"/>
          <w:szCs w:val="28"/>
          <w:highlight w:val="none"/>
          <w:lang w:eastAsia="zh-CN"/>
        </w:rPr>
        <w:t>）《关于进一步加强本市土壤污染重点监管单位源头防控工作的通知》（沪环土〔2026〕46号）等要求</w:t>
      </w:r>
      <w:r>
        <w:rPr>
          <w:rFonts w:hint="eastAsia" w:ascii="仿宋_GB2312" w:hAnsi="仿宋_GB2312" w:eastAsia="仿宋_GB2312" w:cs="仿宋_GB2312"/>
          <w:sz w:val="28"/>
          <w:szCs w:val="28"/>
          <w:highlight w:val="none"/>
        </w:rPr>
        <w:t>，委托第三方单位</w:t>
      </w:r>
      <w:r>
        <w:rPr>
          <w:rFonts w:hint="eastAsia" w:ascii="仿宋_GB2312" w:hAnsi="仿宋_GB2312" w:eastAsia="仿宋_GB2312" w:cs="仿宋_GB2312"/>
          <w:sz w:val="28"/>
          <w:szCs w:val="28"/>
          <w:highlight w:val="none"/>
          <w:lang w:eastAsia="zh-CN"/>
        </w:rPr>
        <w:t>配合开展本</w:t>
      </w:r>
      <w:r>
        <w:rPr>
          <w:rFonts w:hint="eastAsia" w:ascii="仿宋_GB2312" w:hAnsi="仿宋_GB2312" w:eastAsia="仿宋_GB2312" w:cs="仿宋_GB2312"/>
          <w:sz w:val="28"/>
          <w:szCs w:val="28"/>
          <w:highlight w:val="none"/>
        </w:rPr>
        <w:t>年度土壤污染重点监管单位隐患排查</w:t>
      </w:r>
      <w:r>
        <w:rPr>
          <w:rFonts w:hint="eastAsia" w:ascii="仿宋_GB2312" w:hAnsi="仿宋_GB2312" w:eastAsia="仿宋_GB2312" w:cs="仿宋_GB2312"/>
          <w:sz w:val="28"/>
          <w:szCs w:val="28"/>
          <w:highlight w:val="none"/>
          <w:lang w:eastAsia="zh-CN"/>
        </w:rPr>
        <w:t>相关</w:t>
      </w:r>
      <w:r>
        <w:rPr>
          <w:rFonts w:hint="eastAsia" w:ascii="仿宋_GB2312" w:hAnsi="仿宋_GB2312" w:eastAsia="仿宋_GB2312" w:cs="仿宋_GB2312"/>
          <w:sz w:val="28"/>
          <w:szCs w:val="28"/>
          <w:highlight w:val="none"/>
        </w:rPr>
        <w:t>工作，主要实施内容为：</w:t>
      </w:r>
    </w:p>
    <w:p>
      <w:pPr>
        <w:keepNext w:val="0"/>
        <w:keepLines w:val="0"/>
        <w:pageBreakBefore w:val="0"/>
        <w:widowControl w:val="0"/>
        <w:kinsoku/>
        <w:wordWrap/>
        <w:overflowPunct/>
        <w:topLinePunct w:val="0"/>
        <w:autoSpaceDE/>
        <w:autoSpaceDN/>
        <w:bidi w:val="0"/>
        <w:snapToGrid/>
        <w:spacing w:line="46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平台资料审查：通过全国排污许可证管理信息平台、全国建设用地土壤环境管理信息系统、上海市土壤污染防治综合监管平台相关模块审核本辖区</w:t>
      </w:r>
      <w:r>
        <w:rPr>
          <w:rFonts w:hint="eastAsia" w:ascii="仿宋_GB2312" w:hAnsi="仿宋_GB2312" w:eastAsia="仿宋_GB2312" w:cs="仿宋_GB2312"/>
          <w:sz w:val="28"/>
          <w:szCs w:val="28"/>
          <w:highlight w:val="none"/>
          <w:lang w:val="en-US" w:eastAsia="zh-CN"/>
        </w:rPr>
        <w:t>25家</w:t>
      </w:r>
      <w:r>
        <w:rPr>
          <w:rFonts w:hint="eastAsia" w:ascii="仿宋_GB2312" w:hAnsi="仿宋_GB2312" w:eastAsia="仿宋_GB2312" w:cs="仿宋_GB2312"/>
          <w:sz w:val="28"/>
          <w:szCs w:val="28"/>
          <w:highlight w:val="none"/>
          <w:lang w:eastAsia="zh-CN"/>
        </w:rPr>
        <w:t>土壤污染重点监管单位上传的隐患排查、自行监测等资料，提出针对性整改建议并形成台账，指导相关单位按时完成整改，结合资料审查结果确定至少</w:t>
      </w:r>
      <w:r>
        <w:rPr>
          <w:rFonts w:hint="eastAsia" w:ascii="仿宋_GB2312" w:hAnsi="仿宋_GB2312" w:eastAsia="仿宋_GB2312" w:cs="仿宋_GB2312"/>
          <w:sz w:val="28"/>
          <w:szCs w:val="28"/>
          <w:highlight w:val="none"/>
          <w:lang w:val="en-US" w:eastAsia="zh-CN"/>
        </w:rPr>
        <w:t>15家单位作为核算</w:t>
      </w:r>
      <w:r>
        <w:rPr>
          <w:rFonts w:hint="eastAsia" w:ascii="仿宋_GB2312" w:hAnsi="仿宋_GB2312" w:eastAsia="仿宋_GB2312" w:cs="仿宋_GB2312"/>
          <w:sz w:val="28"/>
          <w:szCs w:val="28"/>
          <w:highlight w:val="none"/>
          <w:lang w:eastAsia="zh-CN"/>
        </w:rPr>
        <w:t>底数。</w:t>
      </w:r>
    </w:p>
    <w:p>
      <w:pPr>
        <w:keepNext w:val="0"/>
        <w:keepLines w:val="0"/>
        <w:pageBreakBefore w:val="0"/>
        <w:widowControl w:val="0"/>
        <w:kinsoku/>
        <w:wordWrap/>
        <w:overflowPunct/>
        <w:topLinePunct w:val="0"/>
        <w:autoSpaceDE/>
        <w:autoSpaceDN/>
        <w:bidi w:val="0"/>
        <w:snapToGrid/>
        <w:spacing w:line="4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CN"/>
        </w:rPr>
        <w:t>整改合格率核算：按照国家和本市相关技术指南要求</w:t>
      </w:r>
      <w:r>
        <w:rPr>
          <w:rFonts w:hint="eastAsia" w:ascii="仿宋_GB2312" w:hAnsi="仿宋_GB2312" w:eastAsia="仿宋_GB2312" w:cs="仿宋_GB2312"/>
          <w:sz w:val="28"/>
          <w:szCs w:val="28"/>
          <w:highlight w:val="none"/>
          <w:lang w:val="en-US" w:eastAsia="zh-CN"/>
        </w:rPr>
        <w:t>，优先采用AI大数据分析、遥感核查、无人机、资料审核等非现场手段核实企业隐患排查整改情况，填写隐患排查整改合格判定要点表、整改合格率基础信息台账，初步计算隐患排查整改合格率</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snapToGrid/>
        <w:spacing w:line="46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3.项目总结：梳理工作中发现的问题、成效与经验，编制总结报告，形成“一企一档”。</w:t>
      </w:r>
    </w:p>
    <w:p>
      <w:pPr>
        <w:keepNext w:val="0"/>
        <w:keepLines w:val="0"/>
        <w:pageBreakBefore w:val="0"/>
        <w:widowControl w:val="0"/>
        <w:numPr>
          <w:ilvl w:val="0"/>
          <w:numId w:val="1"/>
        </w:numPr>
        <w:kinsoku/>
        <w:wordWrap/>
        <w:overflowPunct/>
        <w:topLinePunct w:val="0"/>
        <w:autoSpaceDE/>
        <w:autoSpaceDN/>
        <w:bidi w:val="0"/>
        <w:snapToGrid/>
        <w:spacing w:line="460" w:lineRule="exact"/>
        <w:ind w:firstLine="560" w:firstLineChars="200"/>
        <w:rPr>
          <w:rFonts w:hint="eastAsia" w:ascii="CESI黑体-GB13000" w:hAnsi="CESI黑体-GB13000" w:eastAsia="CESI黑体-GB13000" w:cs="CESI黑体-GB13000"/>
          <w:bCs/>
          <w:color w:val="000000"/>
          <w:sz w:val="28"/>
          <w:szCs w:val="28"/>
          <w:highlight w:val="none"/>
        </w:rPr>
      </w:pPr>
      <w:r>
        <w:rPr>
          <w:rFonts w:hint="eastAsia" w:ascii="CESI黑体-GB13000" w:hAnsi="CESI黑体-GB13000" w:eastAsia="CESI黑体-GB13000" w:cs="CESI黑体-GB13000"/>
          <w:bCs/>
          <w:color w:val="000000"/>
          <w:sz w:val="28"/>
          <w:szCs w:val="28"/>
          <w:highlight w:val="none"/>
        </w:rPr>
        <w:t>第三方单位要求</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1．具有健全的技术审核质量保证体系和档案管理体系，社会信誉良好，无违法记录，能独立、客观、公正出具报告并承担相应的法律责任；</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．具有至少3名长期（10年及以上）从事环境保护工作的高级职称在职技术人员</w:t>
      </w:r>
      <w:r>
        <w:rPr>
          <w:rFonts w:hint="eastAsia" w:ascii="仿宋_GB2312" w:hAnsi="Calibri" w:eastAsia="仿宋_GB2312"/>
          <w:bCs/>
          <w:sz w:val="28"/>
          <w:szCs w:val="28"/>
          <w:highlight w:val="none"/>
          <w:lang w:eastAsia="zh-CN"/>
        </w:rPr>
        <w:t>（需提供报价人为其缴纳的社保证明（投标截止日前近3个月任意1个月的社保））</w:t>
      </w:r>
      <w:r>
        <w:rPr>
          <w:rFonts w:hint="eastAsia" w:ascii="仿宋_GB2312" w:hAnsi="仿宋_GB2312" w:eastAsia="仿宋_GB2312" w:cs="仿宋_GB2312"/>
          <w:sz w:val="28"/>
          <w:szCs w:val="28"/>
          <w:highlight w:val="none"/>
          <w:lang w:eastAsia="zh-CN"/>
        </w:rPr>
        <w:t>，项目审核人应由本单位具有环境或地质相关专业高级技术职称的人员担任</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汉仪叶叶相思体简" w:hAnsi="汉仪叶叶相思体简" w:eastAsia="汉仪叶叶相思体简" w:cs="汉仪叶叶相思体简"/>
          <w:sz w:val="28"/>
          <w:szCs w:val="28"/>
          <w:highlight w:val="none"/>
          <w:lang w:val="en-US"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2024-2026年未</w:t>
      </w:r>
      <w:r>
        <w:rPr>
          <w:rFonts w:hint="eastAsia" w:ascii="仿宋_GB2312" w:hAnsi="仿宋_GB2312" w:eastAsia="仿宋_GB2312" w:cs="仿宋_GB2312"/>
          <w:sz w:val="28"/>
          <w:szCs w:val="28"/>
          <w:highlight w:val="none"/>
        </w:rPr>
        <w:t>承接或者参与我区</w:t>
      </w:r>
      <w:r>
        <w:rPr>
          <w:rFonts w:hint="eastAsia" w:ascii="仿宋_GB2312" w:hAnsi="仿宋_GB2312" w:eastAsia="仿宋_GB2312" w:cs="仿宋_GB2312"/>
          <w:sz w:val="28"/>
          <w:szCs w:val="28"/>
          <w:highlight w:val="none"/>
          <w:lang w:eastAsia="zh-CN"/>
        </w:rPr>
        <w:t>土壤污染重点监管单位委托的隐患排查和自行监测工作；</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 遵守《松江区生态环境局购买服务项目考核及绩效评价管理办法（试行）》的相关规定；</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 具备土壤</w:t>
      </w:r>
      <w:r>
        <w:rPr>
          <w:rFonts w:hint="eastAsia" w:ascii="仿宋_GB2312" w:hAnsi="仿宋_GB2312" w:eastAsia="仿宋_GB2312" w:cs="仿宋_GB2312"/>
          <w:sz w:val="28"/>
          <w:szCs w:val="28"/>
          <w:highlight w:val="none"/>
          <w:lang w:eastAsia="zh-CN"/>
        </w:rPr>
        <w:t>隐患排查回头看、土壤调查监督检查、重点行业企业用地调查</w:t>
      </w:r>
      <w:r>
        <w:rPr>
          <w:rFonts w:hint="eastAsia" w:ascii="仿宋_GB2312" w:hAnsi="仿宋_GB2312" w:eastAsia="仿宋_GB2312" w:cs="仿宋_GB2312"/>
          <w:sz w:val="28"/>
          <w:szCs w:val="28"/>
          <w:highlight w:val="none"/>
        </w:rPr>
        <w:t>工作经验的</w:t>
      </w:r>
      <w:r>
        <w:rPr>
          <w:rFonts w:hint="eastAsia" w:ascii="仿宋_GB2312" w:hAnsi="仿宋_GB2312" w:eastAsia="仿宋_GB2312" w:cs="仿宋_GB2312"/>
          <w:sz w:val="28"/>
          <w:szCs w:val="28"/>
          <w:highlight w:val="none"/>
          <w:lang w:eastAsia="zh-CN"/>
        </w:rPr>
        <w:t>，具有检测报告</w:t>
      </w:r>
      <w:r>
        <w:rPr>
          <w:rFonts w:hint="eastAsia" w:ascii="仿宋_GB2312" w:hAnsi="仿宋_GB2312" w:eastAsia="仿宋_GB2312" w:cs="仿宋_GB2312"/>
          <w:sz w:val="28"/>
          <w:szCs w:val="28"/>
          <w:highlight w:val="none"/>
          <w:lang w:val="en-US" w:eastAsia="zh-CN"/>
        </w:rPr>
        <w:t>AI研判等数智化解决方案的可适当加分</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
        </w:numPr>
        <w:kinsoku/>
        <w:wordWrap/>
        <w:overflowPunct/>
        <w:topLinePunct w:val="0"/>
        <w:autoSpaceDE/>
        <w:autoSpaceDN/>
        <w:bidi w:val="0"/>
        <w:snapToGrid/>
        <w:spacing w:line="460" w:lineRule="exact"/>
        <w:ind w:firstLine="560" w:firstLineChars="200"/>
        <w:rPr>
          <w:rFonts w:hint="eastAsia" w:ascii="CESI黑体-GB13000" w:hAnsi="CESI黑体-GB13000" w:eastAsia="CESI黑体-GB13000" w:cs="CESI黑体-GB13000"/>
          <w:bCs/>
          <w:color w:val="000000"/>
          <w:sz w:val="28"/>
          <w:szCs w:val="28"/>
          <w:highlight w:val="none"/>
        </w:rPr>
      </w:pPr>
      <w:r>
        <w:rPr>
          <w:rFonts w:hint="eastAsia" w:ascii="CESI黑体-GB13000" w:hAnsi="CESI黑体-GB13000" w:eastAsia="CESI黑体-GB13000" w:cs="CESI黑体-GB13000"/>
          <w:bCs/>
          <w:color w:val="000000"/>
          <w:sz w:val="28"/>
          <w:szCs w:val="28"/>
          <w:highlight w:val="none"/>
        </w:rPr>
        <w:t>预期成果</w:t>
      </w:r>
    </w:p>
    <w:p>
      <w:pPr>
        <w:keepNext w:val="0"/>
        <w:keepLines w:val="0"/>
        <w:pageBreakBefore w:val="0"/>
        <w:widowControl w:val="0"/>
        <w:kinsoku/>
        <w:wordWrap/>
        <w:overflowPunct/>
        <w:topLinePunct w:val="0"/>
        <w:autoSpaceDE/>
        <w:autoSpaceDN/>
        <w:bidi w:val="0"/>
        <w:snapToGrid/>
        <w:spacing w:line="4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eastAsia="zh-CN"/>
        </w:rPr>
        <w:t>本项目预期形成问题清单整改台账、合格判定要点表、合格率基础信息台账、总结报告、“一企一档”等电子版成果资料</w:t>
      </w:r>
      <w:r>
        <w:rPr>
          <w:rFonts w:hint="eastAsia" w:ascii="仿宋_GB2312" w:hAnsi="仿宋_GB2312" w:eastAsia="仿宋_GB2312" w:cs="仿宋_GB2312"/>
          <w:bCs/>
          <w:sz w:val="28"/>
          <w:szCs w:val="28"/>
          <w:highlight w:val="none"/>
        </w:rPr>
        <w:t>。</w:t>
      </w:r>
    </w:p>
    <w:p>
      <w:pPr>
        <w:keepNext w:val="0"/>
        <w:keepLines w:val="0"/>
        <w:pageBreakBefore w:val="0"/>
        <w:widowControl w:val="0"/>
        <w:numPr>
          <w:ilvl w:val="0"/>
          <w:numId w:val="1"/>
        </w:numPr>
        <w:kinsoku/>
        <w:wordWrap/>
        <w:overflowPunct/>
        <w:topLinePunct w:val="0"/>
        <w:autoSpaceDE/>
        <w:autoSpaceDN/>
        <w:bidi w:val="0"/>
        <w:snapToGrid/>
        <w:spacing w:line="460" w:lineRule="exact"/>
        <w:ind w:firstLine="560" w:firstLineChars="200"/>
        <w:rPr>
          <w:rFonts w:hint="eastAsia" w:ascii="CESI黑体-GB13000" w:hAnsi="CESI黑体-GB13000" w:eastAsia="CESI黑体-GB13000" w:cs="CESI黑体-GB13000"/>
          <w:bCs/>
          <w:color w:val="000000"/>
          <w:sz w:val="28"/>
          <w:szCs w:val="28"/>
          <w:highlight w:val="none"/>
        </w:rPr>
      </w:pPr>
      <w:r>
        <w:rPr>
          <w:rFonts w:hint="eastAsia" w:ascii="CESI黑体-GB13000" w:hAnsi="CESI黑体-GB13000" w:eastAsia="CESI黑体-GB13000" w:cs="CESI黑体-GB13000"/>
          <w:bCs/>
          <w:color w:val="000000"/>
          <w:sz w:val="28"/>
          <w:szCs w:val="28"/>
          <w:highlight w:val="none"/>
        </w:rPr>
        <w:t>项目考核</w:t>
      </w:r>
      <w:r>
        <w:rPr>
          <w:rFonts w:hint="eastAsia" w:ascii="CESI黑体-GB13000" w:hAnsi="CESI黑体-GB13000" w:eastAsia="CESI黑体-GB13000" w:cs="CESI黑体-GB13000"/>
          <w:bCs/>
          <w:color w:val="000000"/>
          <w:sz w:val="28"/>
          <w:szCs w:val="28"/>
          <w:highlight w:val="none"/>
          <w:lang w:eastAsia="zh-CN"/>
        </w:rPr>
        <w:t>及付款方式</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与中标单位签订《合同通用条款及专用条款》。</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rPr>
        <w:t>分两期对第三方</w:t>
      </w:r>
      <w:r>
        <w:rPr>
          <w:rFonts w:hint="eastAsia" w:ascii="仿宋_GB2312" w:hAnsi="仿宋_GB2312" w:eastAsia="仿宋_GB2312" w:cs="仿宋_GB2312"/>
          <w:sz w:val="28"/>
          <w:szCs w:val="28"/>
          <w:highlight w:val="none"/>
          <w:lang w:eastAsia="zh-CN"/>
        </w:rPr>
        <w:t>单位</w:t>
      </w:r>
      <w:r>
        <w:rPr>
          <w:rFonts w:hint="eastAsia" w:ascii="仿宋_GB2312" w:hAnsi="仿宋_GB2312" w:eastAsia="仿宋_GB2312" w:cs="仿宋_GB2312"/>
          <w:sz w:val="28"/>
          <w:szCs w:val="28"/>
          <w:highlight w:val="none"/>
        </w:rPr>
        <w:t>进行考核</w:t>
      </w:r>
      <w:r>
        <w:rPr>
          <w:rFonts w:hint="eastAsia" w:ascii="仿宋_GB2312" w:hAnsi="仿宋_GB2312" w:eastAsia="仿宋_GB2312" w:cs="仿宋_GB2312"/>
          <w:sz w:val="28"/>
          <w:szCs w:val="28"/>
          <w:highlight w:val="none"/>
          <w:lang w:eastAsia="zh-CN"/>
        </w:rPr>
        <w:t>付费</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在完成平台资料审查形成问题清单后考核支付第一笔服务费，</w:t>
      </w:r>
      <w:r>
        <w:rPr>
          <w:rFonts w:hint="eastAsia" w:ascii="仿宋_GB2312" w:hAnsi="仿宋_GB2312" w:eastAsia="仿宋_GB2312" w:cs="仿宋_GB2312"/>
          <w:sz w:val="28"/>
          <w:szCs w:val="28"/>
          <w:highlight w:val="none"/>
        </w:rPr>
        <w:t>预计付款时间2026年</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月底前</w:t>
      </w:r>
      <w:r>
        <w:rPr>
          <w:rFonts w:hint="eastAsia" w:ascii="仿宋_GB2312" w:hAnsi="仿宋_GB2312" w:eastAsia="仿宋_GB2312" w:cs="仿宋_GB2312"/>
          <w:sz w:val="28"/>
          <w:szCs w:val="28"/>
          <w:highlight w:val="none"/>
          <w:lang w:eastAsia="zh-CN"/>
        </w:rPr>
        <w:t>；在合同约定工作全部完成后</w:t>
      </w:r>
      <w:r>
        <w:rPr>
          <w:rFonts w:hint="eastAsia" w:ascii="仿宋_GB2312" w:hAnsi="仿宋_GB2312" w:eastAsia="仿宋_GB2312" w:cs="仿宋_GB2312"/>
          <w:sz w:val="28"/>
          <w:szCs w:val="28"/>
          <w:highlight w:val="none"/>
        </w:rPr>
        <w:t>对成果资料组织专家验收</w:t>
      </w:r>
      <w:r>
        <w:rPr>
          <w:rFonts w:hint="eastAsia" w:ascii="仿宋_GB2312" w:hAnsi="仿宋_GB2312" w:eastAsia="仿宋_GB2312" w:cs="仿宋_GB2312"/>
          <w:sz w:val="28"/>
          <w:szCs w:val="28"/>
          <w:highlight w:val="none"/>
          <w:lang w:eastAsia="zh-CN"/>
        </w:rPr>
        <w:t>，验收通过后考核支付第二笔服务费，预计付款时间2026年11月底前。验收通过后合同期内如企业还有整改事项反馈，第三方单位应配合完成整改复核，我局不再额外支付费用</w:t>
      </w:r>
      <w:r>
        <w:rPr>
          <w:rFonts w:hint="eastAsia" w:ascii="仿宋_GB2312" w:hAnsi="仿宋_GB2312" w:eastAsia="仿宋_GB2312" w:cs="仿宋_GB2312"/>
          <w:sz w:val="28"/>
          <w:szCs w:val="28"/>
          <w:highlight w:val="none"/>
        </w:rPr>
        <w:t>。</w:t>
      </w: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rPr>
      </w:pPr>
    </w:p>
    <w:p>
      <w:pPr>
        <w:keepNext w:val="0"/>
        <w:keepLines w:val="0"/>
        <w:pageBreakBefore w:val="0"/>
        <w:widowControl w:val="0"/>
        <w:numPr>
          <w:ilvl w:val="0"/>
          <w:numId w:val="1"/>
        </w:numPr>
        <w:kinsoku/>
        <w:wordWrap/>
        <w:overflowPunct/>
        <w:topLinePunct w:val="0"/>
        <w:autoSpaceDE/>
        <w:autoSpaceDN/>
        <w:bidi w:val="0"/>
        <w:adjustRightInd w:val="0"/>
        <w:snapToGrid/>
        <w:spacing w:line="460" w:lineRule="exact"/>
        <w:ind w:left="0" w:leftChars="0" w:firstLine="560" w:firstLineChars="200"/>
        <w:textAlignment w:val="baseline"/>
        <w:rPr>
          <w:rFonts w:hint="eastAsia" w:ascii="CESI黑体-GB13000" w:hAnsi="CESI黑体-GB13000" w:eastAsia="CESI黑体-GB13000" w:cs="CESI黑体-GB13000"/>
          <w:sz w:val="28"/>
          <w:szCs w:val="28"/>
          <w:highlight w:val="none"/>
          <w:lang w:eastAsia="zh-CN"/>
        </w:rPr>
      </w:pPr>
      <w:r>
        <w:rPr>
          <w:rFonts w:hint="eastAsia" w:ascii="CESI黑体-GB13000" w:hAnsi="CESI黑体-GB13000" w:eastAsia="CESI黑体-GB13000" w:cs="CESI黑体-GB13000"/>
          <w:sz w:val="28"/>
          <w:szCs w:val="28"/>
          <w:highlight w:val="none"/>
          <w:lang w:eastAsia="zh-CN"/>
        </w:rPr>
        <w:t>分项组成参考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2197"/>
        <w:gridCol w:w="155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b/>
                <w:bCs/>
                <w:sz w:val="24"/>
                <w:szCs w:val="24"/>
                <w:highlight w:val="none"/>
                <w:vertAlign w:val="baseline"/>
                <w:lang w:eastAsia="zh-CN"/>
              </w:rPr>
            </w:pPr>
            <w:r>
              <w:rPr>
                <w:rFonts w:hint="eastAsia" w:ascii="仿宋_GB2312" w:hAnsi="仿宋_GB2312" w:eastAsia="仿宋_GB2312" w:cs="仿宋_GB2312"/>
                <w:b/>
                <w:bCs/>
                <w:sz w:val="24"/>
                <w:szCs w:val="24"/>
                <w:highlight w:val="none"/>
                <w:vertAlign w:val="baseline"/>
                <w:lang w:eastAsia="zh-CN"/>
              </w:rPr>
              <w:t>名称</w:t>
            </w:r>
          </w:p>
        </w:tc>
        <w:tc>
          <w:tcPr>
            <w:tcW w:w="2197"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b/>
                <w:bCs/>
                <w:sz w:val="24"/>
                <w:szCs w:val="24"/>
                <w:highlight w:val="none"/>
                <w:vertAlign w:val="baseline"/>
                <w:lang w:eastAsia="zh-CN"/>
              </w:rPr>
            </w:pPr>
            <w:r>
              <w:rPr>
                <w:rFonts w:hint="eastAsia" w:ascii="仿宋_GB2312" w:hAnsi="仿宋_GB2312" w:eastAsia="仿宋_GB2312" w:cs="仿宋_GB2312"/>
                <w:b/>
                <w:bCs/>
                <w:sz w:val="24"/>
                <w:szCs w:val="24"/>
                <w:highlight w:val="none"/>
                <w:vertAlign w:val="baseline"/>
                <w:lang w:eastAsia="zh-CN"/>
              </w:rPr>
              <w:t>单价（含税价）</w:t>
            </w:r>
          </w:p>
        </w:tc>
        <w:tc>
          <w:tcPr>
            <w:tcW w:w="1553"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b/>
                <w:bCs/>
                <w:sz w:val="24"/>
                <w:szCs w:val="24"/>
                <w:highlight w:val="none"/>
                <w:vertAlign w:val="baseline"/>
                <w:lang w:eastAsia="zh-CN"/>
              </w:rPr>
            </w:pPr>
            <w:r>
              <w:rPr>
                <w:rFonts w:hint="eastAsia" w:ascii="仿宋_GB2312" w:hAnsi="仿宋_GB2312" w:eastAsia="仿宋_GB2312" w:cs="仿宋_GB2312"/>
                <w:b/>
                <w:bCs/>
                <w:sz w:val="24"/>
                <w:szCs w:val="24"/>
                <w:highlight w:val="none"/>
                <w:vertAlign w:val="baseline"/>
                <w:lang w:eastAsia="zh-CN"/>
              </w:rPr>
              <w:t>数量</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b/>
                <w:bCs/>
                <w:sz w:val="24"/>
                <w:szCs w:val="24"/>
                <w:highlight w:val="none"/>
                <w:vertAlign w:val="baseline"/>
                <w:lang w:eastAsia="zh-CN"/>
              </w:rPr>
            </w:pPr>
            <w:r>
              <w:rPr>
                <w:rFonts w:hint="eastAsia" w:ascii="仿宋_GB2312" w:hAnsi="仿宋_GB2312" w:eastAsia="仿宋_GB2312" w:cs="仿宋_GB2312"/>
                <w:b/>
                <w:bCs/>
                <w:sz w:val="24"/>
                <w:szCs w:val="24"/>
                <w:highlight w:val="none"/>
                <w:vertAlign w:val="baseline"/>
                <w:lang w:eastAsia="zh-CN"/>
              </w:rPr>
              <w:t>合价（含税价）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监管平台资料审查</w:t>
            </w:r>
          </w:p>
        </w:tc>
        <w:tc>
          <w:tcPr>
            <w:tcW w:w="2197"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p>
        </w:tc>
        <w:tc>
          <w:tcPr>
            <w:tcW w:w="1553"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25</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整改合格率核算</w:t>
            </w:r>
          </w:p>
        </w:tc>
        <w:tc>
          <w:tcPr>
            <w:tcW w:w="2197"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p>
        </w:tc>
        <w:tc>
          <w:tcPr>
            <w:tcW w:w="1553"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总结报告</w:t>
            </w:r>
          </w:p>
        </w:tc>
        <w:tc>
          <w:tcPr>
            <w:tcW w:w="2197"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p>
        </w:tc>
        <w:tc>
          <w:tcPr>
            <w:tcW w:w="1553"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b/>
                <w:bCs/>
                <w:sz w:val="24"/>
                <w:szCs w:val="24"/>
                <w:highlight w:val="none"/>
                <w:vertAlign w:val="baseline"/>
                <w:lang w:eastAsia="zh-CN"/>
              </w:rPr>
            </w:pPr>
            <w:r>
              <w:rPr>
                <w:rFonts w:hint="eastAsia" w:ascii="仿宋_GB2312" w:hAnsi="仿宋_GB2312" w:eastAsia="仿宋_GB2312" w:cs="仿宋_GB2312"/>
                <w:b/>
                <w:bCs/>
                <w:sz w:val="24"/>
                <w:szCs w:val="24"/>
                <w:highlight w:val="none"/>
                <w:vertAlign w:val="baseline"/>
                <w:lang w:eastAsia="zh-CN"/>
              </w:rPr>
              <w:t>总价（含税价）</w:t>
            </w:r>
          </w:p>
        </w:tc>
        <w:tc>
          <w:tcPr>
            <w:tcW w:w="5881" w:type="dxa"/>
            <w:gridSpan w:val="3"/>
          </w:tcPr>
          <w:p>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jc w:val="center"/>
              <w:textAlignment w:val="baseline"/>
              <w:rPr>
                <w:rFonts w:hint="eastAsia" w:ascii="仿宋_GB2312" w:hAnsi="仿宋_GB2312" w:eastAsia="仿宋_GB2312" w:cs="仿宋_GB2312"/>
                <w:sz w:val="24"/>
                <w:szCs w:val="24"/>
                <w:highlight w:val="none"/>
                <w:vertAlign w:val="baseline"/>
                <w:lang w:eastAsia="zh-CN"/>
              </w:rPr>
            </w:pPr>
          </w:p>
        </w:tc>
      </w:tr>
    </w:tbl>
    <w:tbl>
      <w:tblPr>
        <w:tblStyle w:val="8"/>
        <w:tblpPr w:leftFromText="180" w:rightFromText="180" w:vertAnchor="text" w:horzAnchor="page" w:tblpX="1749" w:tblpY="449"/>
        <w:tblOverlap w:val="never"/>
        <w:tblW w:w="8581" w:type="dxa"/>
        <w:tblInd w:w="0" w:type="dxa"/>
        <w:tblLayout w:type="fixed"/>
        <w:tblCellMar>
          <w:top w:w="0" w:type="dxa"/>
          <w:left w:w="108" w:type="dxa"/>
          <w:bottom w:w="0" w:type="dxa"/>
          <w:right w:w="108" w:type="dxa"/>
        </w:tblCellMar>
      </w:tblPr>
      <w:tblGrid>
        <w:gridCol w:w="1621"/>
        <w:gridCol w:w="6960"/>
      </w:tblGrid>
      <w:tr>
        <w:tblPrEx>
          <w:tblCellMar>
            <w:top w:w="0" w:type="dxa"/>
            <w:left w:w="108" w:type="dxa"/>
            <w:bottom w:w="0" w:type="dxa"/>
            <w:right w:w="108" w:type="dxa"/>
          </w:tblCellMar>
        </w:tblPrEx>
        <w:trPr>
          <w:trHeight w:val="329" w:hRule="atLeast"/>
        </w:trPr>
        <w:tc>
          <w:tcPr>
            <w:tcW w:w="8581" w:type="dxa"/>
            <w:gridSpan w:val="2"/>
            <w:tcBorders>
              <w:top w:val="single" w:color="auto" w:sz="4" w:space="0"/>
              <w:left w:val="single" w:color="auto" w:sz="4" w:space="0"/>
              <w:bottom w:val="single" w:color="auto" w:sz="4" w:space="0"/>
              <w:right w:val="nil"/>
            </w:tcBorders>
            <w:noWrap/>
            <w:vAlign w:val="center"/>
          </w:tcPr>
          <w:p>
            <w:pPr>
              <w:widowControl/>
              <w:spacing w:line="320" w:lineRule="exact"/>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综合评分指标内容</w:t>
            </w:r>
          </w:p>
        </w:tc>
      </w:tr>
      <w:tr>
        <w:tblPrEx>
          <w:tblCellMar>
            <w:top w:w="0" w:type="dxa"/>
            <w:left w:w="108" w:type="dxa"/>
            <w:bottom w:w="0" w:type="dxa"/>
            <w:right w:w="108" w:type="dxa"/>
          </w:tblCellMar>
        </w:tblPrEx>
        <w:trPr>
          <w:trHeight w:val="285" w:hRule="atLeast"/>
        </w:trPr>
        <w:tc>
          <w:tcPr>
            <w:tcW w:w="162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项目名称</w:t>
            </w:r>
          </w:p>
        </w:tc>
        <w:tc>
          <w:tcPr>
            <w:tcW w:w="6960"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b/>
                <w:bCs/>
                <w:kern w:val="0"/>
                <w:sz w:val="21"/>
                <w:szCs w:val="21"/>
                <w:highlight w:val="none"/>
              </w:rPr>
            </w:pPr>
          </w:p>
        </w:tc>
      </w:tr>
      <w:tr>
        <w:tblPrEx>
          <w:tblCellMar>
            <w:top w:w="0" w:type="dxa"/>
            <w:left w:w="108" w:type="dxa"/>
            <w:bottom w:w="0" w:type="dxa"/>
            <w:right w:w="108" w:type="dxa"/>
          </w:tblCellMar>
        </w:tblPrEx>
        <w:trPr>
          <w:trHeight w:val="374" w:hRule="atLeast"/>
        </w:trPr>
        <w:tc>
          <w:tcPr>
            <w:tcW w:w="162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指标及分值</w:t>
            </w:r>
          </w:p>
        </w:tc>
        <w:tc>
          <w:tcPr>
            <w:tcW w:w="6960"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评分标准</w:t>
            </w:r>
          </w:p>
        </w:tc>
      </w:tr>
      <w:tr>
        <w:trPr>
          <w:trHeight w:val="285" w:hRule="atLeast"/>
        </w:trPr>
        <w:tc>
          <w:tcPr>
            <w:tcW w:w="162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报价（万元）</w:t>
            </w:r>
          </w:p>
        </w:tc>
        <w:tc>
          <w:tcPr>
            <w:tcW w:w="6960"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b/>
                <w:bCs/>
                <w:kern w:val="0"/>
                <w:sz w:val="21"/>
                <w:szCs w:val="21"/>
                <w:highlight w:val="none"/>
              </w:rPr>
            </w:pPr>
          </w:p>
        </w:tc>
      </w:tr>
      <w:tr>
        <w:tblPrEx>
          <w:tblCellMar>
            <w:top w:w="0" w:type="dxa"/>
            <w:left w:w="108" w:type="dxa"/>
            <w:bottom w:w="0" w:type="dxa"/>
            <w:right w:w="108" w:type="dxa"/>
          </w:tblCellMar>
        </w:tblPrEx>
        <w:trPr>
          <w:trHeight w:val="570" w:hRule="atLeast"/>
        </w:trPr>
        <w:tc>
          <w:tcPr>
            <w:tcW w:w="1621" w:type="dxa"/>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报价        （20分）</w:t>
            </w:r>
          </w:p>
        </w:tc>
        <w:tc>
          <w:tcPr>
            <w:tcW w:w="69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满足采购文件要求且价格最低的最终报价为评审基准价，得20分。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其他供应商的价格分统一按照下列公式计算：报价得分=20×（评审基准价/最终报价），超过最高限价金额的投标为无效投标；</w:t>
            </w:r>
          </w:p>
        </w:tc>
      </w:tr>
      <w:tr>
        <w:tblPrEx>
          <w:tblCellMar>
            <w:top w:w="0" w:type="dxa"/>
            <w:left w:w="108" w:type="dxa"/>
            <w:bottom w:w="0" w:type="dxa"/>
            <w:right w:w="108" w:type="dxa"/>
          </w:tblCellMar>
        </w:tblPrEx>
        <w:trPr>
          <w:trHeight w:val="509" w:hRule="atLeast"/>
        </w:trPr>
        <w:tc>
          <w:tcPr>
            <w:tcW w:w="16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整体策划方案    （</w:t>
            </w:r>
            <w:r>
              <w:rPr>
                <w:rFonts w:hint="eastAsia" w:ascii="仿宋_GB2312" w:hAnsi="仿宋_GB2312" w:eastAsia="仿宋_GB2312" w:cs="仿宋_GB2312"/>
                <w:kern w:val="0"/>
                <w:sz w:val="21"/>
                <w:szCs w:val="21"/>
                <w:highlight w:val="none"/>
                <w:lang w:val="en-US" w:eastAsia="zh-CN"/>
              </w:rPr>
              <w:t>34</w:t>
            </w:r>
            <w:r>
              <w:rPr>
                <w:rFonts w:hint="eastAsia" w:ascii="仿宋_GB2312" w:hAnsi="仿宋_GB2312" w:eastAsia="仿宋_GB2312" w:cs="仿宋_GB2312"/>
                <w:kern w:val="0"/>
                <w:sz w:val="21"/>
                <w:szCs w:val="21"/>
                <w:highlight w:val="none"/>
              </w:rPr>
              <w:t>分）</w:t>
            </w:r>
          </w:p>
        </w:tc>
        <w:tc>
          <w:tcPr>
            <w:tcW w:w="69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根据报价供应商所提供总体服务方案中体现的方案服务内容、服务安排、重点分析等响应情况给予评价。</w:t>
            </w:r>
            <w:r>
              <w:rPr>
                <w:rFonts w:hint="eastAsia" w:ascii="仿宋_GB2312" w:hAnsi="仿宋_GB2312" w:eastAsia="仿宋_GB2312" w:cs="仿宋_GB2312"/>
                <w:kern w:val="0"/>
                <w:sz w:val="21"/>
                <w:szCs w:val="21"/>
                <w:highlight w:val="none"/>
                <w:lang w:eastAsia="zh-CN"/>
              </w:rPr>
              <w:t>具备</w:t>
            </w:r>
            <w:r>
              <w:rPr>
                <w:rFonts w:hint="eastAsia" w:ascii="仿宋_GB2312" w:hAnsi="仿宋_GB2312" w:eastAsia="仿宋_GB2312" w:cs="仿宋_GB2312"/>
                <w:sz w:val="21"/>
                <w:szCs w:val="21"/>
                <w:highlight w:val="none"/>
              </w:rPr>
              <w:t>遥感影像、无人机、AI大数据</w:t>
            </w:r>
            <w:r>
              <w:rPr>
                <w:rFonts w:hint="eastAsia" w:ascii="仿宋_GB2312" w:hAnsi="仿宋_GB2312" w:eastAsia="仿宋_GB2312" w:cs="仿宋_GB2312"/>
                <w:sz w:val="21"/>
                <w:szCs w:val="21"/>
                <w:highlight w:val="none"/>
                <w:lang w:eastAsia="zh-CN"/>
              </w:rPr>
              <w:t>等</w:t>
            </w:r>
            <w:r>
              <w:rPr>
                <w:rFonts w:hint="eastAsia" w:ascii="仿宋_GB2312" w:hAnsi="仿宋_GB2312" w:eastAsia="仿宋_GB2312" w:cs="仿宋_GB2312"/>
                <w:sz w:val="21"/>
                <w:szCs w:val="21"/>
                <w:highlight w:val="none"/>
              </w:rPr>
              <w:t>非现场检查技术</w:t>
            </w:r>
            <w:r>
              <w:rPr>
                <w:rFonts w:hint="eastAsia" w:ascii="仿宋_GB2312" w:hAnsi="仿宋_GB2312" w:eastAsia="仿宋_GB2312" w:cs="仿宋_GB2312"/>
                <w:sz w:val="21"/>
                <w:szCs w:val="21"/>
                <w:highlight w:val="none"/>
                <w:lang w:eastAsia="zh-CN"/>
              </w:rPr>
              <w:t>能力</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kern w:val="0"/>
                <w:sz w:val="21"/>
                <w:szCs w:val="21"/>
                <w:highlight w:val="none"/>
              </w:rPr>
              <w:t>总体服务方案完善，思路明确完全符合招标文件要求为好（</w:t>
            </w:r>
            <w:r>
              <w:rPr>
                <w:rFonts w:hint="eastAsia" w:ascii="仿宋_GB2312" w:hAnsi="仿宋_GB2312" w:eastAsia="仿宋_GB2312" w:cs="仿宋_GB2312"/>
                <w:kern w:val="0"/>
                <w:sz w:val="21"/>
                <w:szCs w:val="21"/>
                <w:highlight w:val="none"/>
                <w:lang w:val="en-US" w:eastAsia="zh-CN"/>
              </w:rPr>
              <w:t>26</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34</w:t>
            </w:r>
            <w:r>
              <w:rPr>
                <w:rFonts w:hint="eastAsia" w:ascii="仿宋_GB2312" w:hAnsi="仿宋_GB2312" w:eastAsia="仿宋_GB2312" w:cs="仿宋_GB2312"/>
                <w:kern w:val="0"/>
                <w:sz w:val="21"/>
                <w:szCs w:val="21"/>
                <w:highlight w:val="none"/>
              </w:rPr>
              <w:t>分）；总体服务方案简单，基本能满足招标文件要求为一般（</w:t>
            </w:r>
            <w:r>
              <w:rPr>
                <w:rFonts w:hint="eastAsia" w:ascii="仿宋_GB2312" w:hAnsi="仿宋_GB2312" w:eastAsia="仿宋_GB2312" w:cs="仿宋_GB2312"/>
                <w:kern w:val="0"/>
                <w:sz w:val="21"/>
                <w:szCs w:val="21"/>
                <w:highlight w:val="none"/>
                <w:lang w:val="en-US" w:eastAsia="zh-CN"/>
              </w:rPr>
              <w:t>11</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25</w:t>
            </w:r>
            <w:r>
              <w:rPr>
                <w:rFonts w:hint="eastAsia" w:ascii="仿宋_GB2312" w:hAnsi="仿宋_GB2312" w:eastAsia="仿宋_GB2312" w:cs="仿宋_GB2312"/>
                <w:kern w:val="0"/>
                <w:sz w:val="21"/>
                <w:szCs w:val="21"/>
                <w:highlight w:val="none"/>
              </w:rPr>
              <w:t>分）；总体服务方案不明确，不能满足招标文件要求为差（1-</w:t>
            </w:r>
            <w:r>
              <w:rPr>
                <w:rFonts w:hint="eastAsia" w:ascii="仿宋_GB2312" w:hAnsi="仿宋_GB2312" w:eastAsia="仿宋_GB2312" w:cs="仿宋_GB2312"/>
                <w:kern w:val="0"/>
                <w:sz w:val="21"/>
                <w:szCs w:val="21"/>
                <w:highlight w:val="none"/>
                <w:lang w:val="en-US" w:eastAsia="zh-CN"/>
              </w:rPr>
              <w:t>10</w:t>
            </w:r>
            <w:r>
              <w:rPr>
                <w:rFonts w:hint="eastAsia" w:ascii="仿宋_GB2312" w:hAnsi="仿宋_GB2312" w:eastAsia="仿宋_GB2312" w:cs="仿宋_GB2312"/>
                <w:kern w:val="0"/>
                <w:sz w:val="21"/>
                <w:szCs w:val="21"/>
                <w:highlight w:val="none"/>
              </w:rPr>
              <w:t>分）。</w:t>
            </w:r>
          </w:p>
        </w:tc>
      </w:tr>
      <w:tr>
        <w:tblPrEx>
          <w:tblCellMar>
            <w:top w:w="0" w:type="dxa"/>
            <w:left w:w="108" w:type="dxa"/>
            <w:bottom w:w="0" w:type="dxa"/>
            <w:right w:w="108" w:type="dxa"/>
          </w:tblCellMar>
        </w:tblPrEx>
        <w:trPr>
          <w:trHeight w:val="723" w:hRule="atLeast"/>
        </w:trPr>
        <w:tc>
          <w:tcPr>
            <w:tcW w:w="1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质量保证措施       （</w:t>
            </w:r>
            <w:r>
              <w:rPr>
                <w:rFonts w:hint="eastAsia" w:ascii="仿宋_GB2312" w:hAnsi="仿宋_GB2312" w:eastAsia="仿宋_GB2312" w:cs="仿宋_GB2312"/>
                <w:kern w:val="0"/>
                <w:sz w:val="21"/>
                <w:szCs w:val="21"/>
                <w:highlight w:val="none"/>
                <w:lang w:val="en-US" w:eastAsia="zh-CN"/>
              </w:rPr>
              <w:t>1</w:t>
            </w:r>
            <w:r>
              <w:rPr>
                <w:rFonts w:hint="eastAsia" w:ascii="仿宋_GB2312" w:hAnsi="仿宋_GB2312" w:eastAsia="仿宋_GB2312" w:cs="仿宋_GB2312"/>
                <w:kern w:val="0"/>
                <w:sz w:val="21"/>
                <w:szCs w:val="21"/>
                <w:highlight w:val="none"/>
              </w:rPr>
              <w:t>0分）</w:t>
            </w:r>
          </w:p>
        </w:tc>
        <w:tc>
          <w:tcPr>
            <w:tcW w:w="69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根据报价供应商提供的质量保证措施情况及解决措施的综合情况进行综合评审。质量保证分析及措施合理且完全满足需求的为好（</w:t>
            </w:r>
            <w:r>
              <w:rPr>
                <w:rFonts w:hint="eastAsia" w:ascii="仿宋_GB2312" w:hAnsi="仿宋_GB2312" w:eastAsia="仿宋_GB2312" w:cs="仿宋_GB2312"/>
                <w:kern w:val="0"/>
                <w:sz w:val="21"/>
                <w:szCs w:val="21"/>
                <w:highlight w:val="none"/>
                <w:lang w:val="en-US" w:eastAsia="zh-CN"/>
              </w:rPr>
              <w:t>8</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10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sz w:val="21"/>
                <w:szCs w:val="21"/>
                <w:highlight w:val="none"/>
              </w:rPr>
              <w:t>）；质量保证分析及措施基本满足文件需求为一般（</w:t>
            </w:r>
            <w:r>
              <w:rPr>
                <w:rFonts w:hint="eastAsia" w:ascii="仿宋_GB2312" w:hAnsi="仿宋_GB2312" w:eastAsia="仿宋_GB2312" w:cs="仿宋_GB2312"/>
                <w:kern w:val="0"/>
                <w:sz w:val="21"/>
                <w:szCs w:val="21"/>
                <w:highlight w:val="none"/>
                <w:lang w:val="en-US" w:eastAsia="zh-CN"/>
              </w:rPr>
              <w:t>4</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7</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sz w:val="21"/>
                <w:szCs w:val="21"/>
                <w:highlight w:val="none"/>
              </w:rPr>
              <w:t>）；质量保证分析及措施不满足需求为差（</w:t>
            </w: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US" w:eastAsia="zh-CN"/>
              </w:rPr>
              <w:t>3</w:t>
            </w:r>
            <w:r>
              <w:rPr>
                <w:rFonts w:hint="eastAsia" w:ascii="仿宋_GB2312" w:hAnsi="仿宋_GB2312" w:eastAsia="仿宋_GB2312" w:cs="仿宋_GB2312"/>
                <w:sz w:val="21"/>
                <w:szCs w:val="21"/>
                <w:highlight w:val="none"/>
              </w:rPr>
              <w:t>分）</w:t>
            </w:r>
          </w:p>
        </w:tc>
      </w:tr>
      <w:tr>
        <w:trPr>
          <w:trHeight w:val="723" w:hRule="atLeast"/>
        </w:trPr>
        <w:tc>
          <w:tcPr>
            <w:tcW w:w="1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拟派项目团队人员情况    （20分）</w:t>
            </w:r>
          </w:p>
        </w:tc>
        <w:tc>
          <w:tcPr>
            <w:tcW w:w="69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根据拟派项目团队人员情况（含项目负责人</w:t>
            </w:r>
            <w:r>
              <w:rPr>
                <w:rFonts w:hint="eastAsia" w:ascii="仿宋_GB2312" w:hAnsi="仿宋_GB2312" w:eastAsia="仿宋_GB2312" w:cs="仿宋_GB2312"/>
                <w:kern w:val="0"/>
                <w:sz w:val="21"/>
                <w:szCs w:val="21"/>
                <w:highlight w:val="none"/>
                <w:lang w:eastAsia="zh-CN"/>
              </w:rPr>
              <w:t>、审核人</w:t>
            </w:r>
            <w:r>
              <w:rPr>
                <w:rFonts w:hint="eastAsia" w:ascii="仿宋_GB2312" w:hAnsi="仿宋_GB2312" w:eastAsia="仿宋_GB2312" w:cs="仿宋_GB2312"/>
                <w:kern w:val="0"/>
                <w:sz w:val="21"/>
                <w:szCs w:val="21"/>
                <w:highlight w:val="none"/>
              </w:rPr>
              <w:t>及其他主要人员资历、证书情况）的架构情况进行综合评审</w:t>
            </w:r>
            <w:r>
              <w:rPr>
                <w:rFonts w:hint="eastAsia" w:ascii="仿宋_GB2312" w:hAnsi="仿宋_GB2312" w:eastAsia="仿宋_GB2312" w:cs="仿宋_GB2312"/>
                <w:kern w:val="0"/>
                <w:sz w:val="21"/>
                <w:szCs w:val="21"/>
                <w:highlight w:val="none"/>
                <w:lang w:eastAsia="zh-CN"/>
              </w:rPr>
              <w:t>，需提供报价人为其缴纳的社保证明（投标截止日前近3个月任意1个月的社保）</w:t>
            </w:r>
            <w:r>
              <w:rPr>
                <w:rFonts w:hint="eastAsia" w:ascii="仿宋_GB2312" w:hAnsi="仿宋_GB2312" w:eastAsia="仿宋_GB2312" w:cs="仿宋_GB2312"/>
                <w:kern w:val="0"/>
                <w:sz w:val="21"/>
                <w:szCs w:val="21"/>
                <w:highlight w:val="none"/>
              </w:rPr>
              <w:t>。人员配置充足、组织架构合理</w:t>
            </w:r>
            <w:r>
              <w:rPr>
                <w:rFonts w:hint="eastAsia" w:ascii="仿宋_GB2312" w:hAnsi="仿宋_GB2312" w:eastAsia="仿宋_GB2312" w:cs="仿宋_GB2312"/>
                <w:kern w:val="0"/>
                <w:sz w:val="21"/>
                <w:szCs w:val="21"/>
                <w:highlight w:val="none"/>
                <w:lang w:eastAsia="zh-CN"/>
              </w:rPr>
              <w:t>、满足需求</w:t>
            </w:r>
            <w:r>
              <w:rPr>
                <w:rFonts w:hint="eastAsia" w:ascii="仿宋_GB2312" w:hAnsi="仿宋_GB2312" w:eastAsia="仿宋_GB2312" w:cs="仿宋_GB2312"/>
                <w:kern w:val="0"/>
                <w:sz w:val="21"/>
                <w:szCs w:val="21"/>
                <w:highlight w:val="none"/>
              </w:rPr>
              <w:t>得15-20分；人员配置不够完善、组织架构简单</w:t>
            </w:r>
            <w:r>
              <w:rPr>
                <w:rFonts w:hint="eastAsia" w:ascii="仿宋_GB2312" w:hAnsi="仿宋_GB2312" w:eastAsia="仿宋_GB2312" w:cs="仿宋_GB2312"/>
                <w:kern w:val="0"/>
                <w:sz w:val="21"/>
                <w:szCs w:val="21"/>
                <w:highlight w:val="none"/>
                <w:lang w:eastAsia="zh-CN"/>
              </w:rPr>
              <w:t>、需求匹配一般</w:t>
            </w:r>
            <w:r>
              <w:rPr>
                <w:rFonts w:hint="eastAsia" w:ascii="仿宋_GB2312" w:hAnsi="仿宋_GB2312" w:eastAsia="仿宋_GB2312" w:cs="仿宋_GB2312"/>
                <w:kern w:val="0"/>
                <w:sz w:val="21"/>
                <w:szCs w:val="21"/>
                <w:highlight w:val="none"/>
              </w:rPr>
              <w:t>得7-14分；人员配置、组织架构不够明确</w:t>
            </w:r>
            <w:r>
              <w:rPr>
                <w:rFonts w:hint="eastAsia" w:ascii="仿宋_GB2312" w:hAnsi="仿宋_GB2312" w:eastAsia="仿宋_GB2312" w:cs="仿宋_GB2312"/>
                <w:kern w:val="0"/>
                <w:sz w:val="21"/>
                <w:szCs w:val="21"/>
                <w:highlight w:val="none"/>
                <w:lang w:eastAsia="zh-CN"/>
              </w:rPr>
              <w:t>、不满足需求</w:t>
            </w:r>
            <w:r>
              <w:rPr>
                <w:rFonts w:hint="eastAsia" w:ascii="仿宋_GB2312" w:hAnsi="仿宋_GB2312" w:eastAsia="仿宋_GB2312" w:cs="仿宋_GB2312"/>
                <w:kern w:val="0"/>
                <w:sz w:val="21"/>
                <w:szCs w:val="21"/>
                <w:highlight w:val="none"/>
              </w:rPr>
              <w:t>得1-6分；</w:t>
            </w:r>
          </w:p>
        </w:tc>
      </w:tr>
      <w:tr>
        <w:tblPrEx>
          <w:tblCellMar>
            <w:top w:w="0" w:type="dxa"/>
            <w:left w:w="108" w:type="dxa"/>
            <w:bottom w:w="0" w:type="dxa"/>
            <w:right w:w="108" w:type="dxa"/>
          </w:tblCellMar>
        </w:tblPrEx>
        <w:trPr>
          <w:trHeight w:val="1050" w:hRule="atLeast"/>
        </w:trPr>
        <w:tc>
          <w:tcPr>
            <w:tcW w:w="1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服务承诺     （10分）</w:t>
            </w:r>
          </w:p>
        </w:tc>
        <w:tc>
          <w:tcPr>
            <w:tcW w:w="69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报价供应商提供的服务承诺及合理化建议进行综合评审。服务承诺优于文件要求及合理化建议可行为好（7-10分）；服务承诺基本满足文件要求及合理化建议较好为一般（4-6分）；服务承诺不能满足文件要求及合理化建议不可行为差（1-3分）</w:t>
            </w:r>
          </w:p>
        </w:tc>
      </w:tr>
      <w:tr>
        <w:tblPrEx>
          <w:tblCellMar>
            <w:top w:w="0" w:type="dxa"/>
            <w:left w:w="108" w:type="dxa"/>
            <w:bottom w:w="0" w:type="dxa"/>
            <w:right w:w="108" w:type="dxa"/>
          </w:tblCellMar>
        </w:tblPrEx>
        <w:trPr>
          <w:trHeight w:val="378" w:hRule="atLeast"/>
        </w:trPr>
        <w:tc>
          <w:tcPr>
            <w:tcW w:w="162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业绩状况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  （</w:t>
            </w:r>
            <w:r>
              <w:rPr>
                <w:rFonts w:hint="eastAsia" w:ascii="仿宋_GB2312" w:hAnsi="仿宋_GB2312" w:eastAsia="仿宋_GB2312" w:cs="仿宋_GB2312"/>
                <w:kern w:val="0"/>
                <w:sz w:val="21"/>
                <w:szCs w:val="21"/>
                <w:highlight w:val="none"/>
                <w:lang w:val="en-US" w:eastAsia="zh-CN"/>
              </w:rPr>
              <w:t>6</w:t>
            </w:r>
            <w:r>
              <w:rPr>
                <w:rFonts w:hint="eastAsia" w:ascii="仿宋_GB2312" w:hAnsi="仿宋_GB2312" w:eastAsia="仿宋_GB2312" w:cs="仿宋_GB2312"/>
                <w:kern w:val="0"/>
                <w:sz w:val="21"/>
                <w:szCs w:val="21"/>
                <w:highlight w:val="none"/>
              </w:rPr>
              <w:t>分）</w:t>
            </w:r>
          </w:p>
        </w:tc>
        <w:tc>
          <w:tcPr>
            <w:tcW w:w="69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color w:val="000000"/>
                <w:kern w:val="0"/>
                <w:sz w:val="21"/>
                <w:szCs w:val="21"/>
                <w:highlight w:val="none"/>
              </w:rPr>
              <w:t>投标截至日前三年内</w:t>
            </w:r>
            <w:r>
              <w:rPr>
                <w:rFonts w:hint="eastAsia" w:ascii="仿宋_GB2312" w:hAnsi="仿宋_GB2312" w:eastAsia="仿宋_GB2312" w:cs="仿宋_GB2312"/>
                <w:color w:val="auto"/>
                <w:kern w:val="0"/>
                <w:sz w:val="21"/>
                <w:szCs w:val="21"/>
                <w:highlight w:val="none"/>
                <w:lang w:eastAsia="zh-CN"/>
              </w:rPr>
              <w:t>土壤报告评估</w:t>
            </w:r>
            <w:r>
              <w:rPr>
                <w:rFonts w:hint="eastAsia" w:ascii="仿宋_GB2312" w:hAnsi="仿宋_GB2312" w:eastAsia="仿宋_GB2312" w:cs="仿宋_GB2312"/>
                <w:color w:val="000000"/>
                <w:kern w:val="0"/>
                <w:sz w:val="21"/>
                <w:szCs w:val="21"/>
                <w:highlight w:val="none"/>
              </w:rPr>
              <w:t>类似业绩（具体时间以合同签订日期、合同履约期限、中标通知书落款日期为准，未注明日期或者不清楚则不予计取，须有双方公章）每提供1个得</w:t>
            </w:r>
            <w:r>
              <w:rPr>
                <w:rFonts w:hint="eastAsia" w:ascii="仿宋_GB2312" w:hAnsi="仿宋_GB2312" w:eastAsia="仿宋_GB2312" w:cs="仿宋_GB2312"/>
                <w:color w:val="000000"/>
                <w:kern w:val="0"/>
                <w:sz w:val="21"/>
                <w:szCs w:val="21"/>
                <w:highlight w:val="none"/>
                <w:lang w:val="en-US" w:eastAsia="zh-CN"/>
              </w:rPr>
              <w:t>2</w:t>
            </w:r>
            <w:r>
              <w:rPr>
                <w:rFonts w:hint="eastAsia" w:ascii="仿宋_GB2312" w:hAnsi="仿宋_GB2312" w:eastAsia="仿宋_GB2312" w:cs="仿宋_GB2312"/>
                <w:color w:val="000000"/>
                <w:kern w:val="0"/>
                <w:sz w:val="21"/>
                <w:szCs w:val="21"/>
                <w:highlight w:val="none"/>
              </w:rPr>
              <w:t>分，满分</w:t>
            </w:r>
            <w:r>
              <w:rPr>
                <w:rFonts w:hint="eastAsia" w:ascii="仿宋_GB2312" w:hAnsi="仿宋_GB2312" w:eastAsia="仿宋_GB2312" w:cs="仿宋_GB2312"/>
                <w:color w:val="000000"/>
                <w:kern w:val="0"/>
                <w:sz w:val="21"/>
                <w:szCs w:val="21"/>
                <w:highlight w:val="none"/>
                <w:lang w:val="en-US" w:eastAsia="zh-CN"/>
              </w:rPr>
              <w:t>6</w:t>
            </w:r>
            <w:r>
              <w:rPr>
                <w:rFonts w:hint="eastAsia" w:ascii="仿宋_GB2312" w:hAnsi="仿宋_GB2312" w:eastAsia="仿宋_GB2312" w:cs="仿宋_GB2312"/>
                <w:color w:val="000000"/>
                <w:kern w:val="0"/>
                <w:sz w:val="21"/>
                <w:szCs w:val="21"/>
                <w:highlight w:val="none"/>
              </w:rPr>
              <w:t>分，未提供的得0分。</w:t>
            </w:r>
          </w:p>
        </w:tc>
      </w:tr>
      <w:tr>
        <w:tblPrEx>
          <w:tblCellMar>
            <w:top w:w="0" w:type="dxa"/>
            <w:left w:w="108" w:type="dxa"/>
            <w:bottom w:w="0" w:type="dxa"/>
            <w:right w:w="108" w:type="dxa"/>
          </w:tblCellMar>
        </w:tblPrEx>
        <w:trPr>
          <w:trHeight w:val="517" w:hRule="atLeast"/>
        </w:trPr>
        <w:tc>
          <w:tcPr>
            <w:tcW w:w="858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综合评定分数（100分）　</w:t>
            </w:r>
          </w:p>
        </w:tc>
      </w:tr>
    </w:tbl>
    <w:p>
      <w:pPr>
        <w:rPr>
          <w:sz w:val="32"/>
          <w:szCs w:val="18"/>
          <w:highlight w:val="none"/>
        </w:rPr>
      </w:pPr>
      <w:r>
        <w:rPr>
          <w:sz w:val="32"/>
          <w:szCs w:val="18"/>
          <w:highlight w:val="none"/>
        </w:rPr>
        <w:br w:type="page"/>
      </w:r>
    </w:p>
    <w:p>
      <w:pPr>
        <w:spacing w:line="560" w:lineRule="exact"/>
        <w:rPr>
          <w:rFonts w:hint="eastAsia" w:ascii="仿宋_GB2312" w:eastAsia="仿宋_GB2312"/>
          <w:sz w:val="32"/>
          <w:szCs w:val="32"/>
        </w:rPr>
        <w:sectPr>
          <w:pgSz w:w="11906" w:h="16838"/>
          <w:pgMar w:top="1440" w:right="1200" w:bottom="1440" w:left="1380" w:header="851" w:footer="992" w:gutter="0"/>
          <w:paperSrc/>
          <w:cols w:space="0" w:num="1"/>
          <w:rtlGutter w:val="0"/>
          <w:docGrid w:type="lines" w:linePitch="312" w:charSpace="0"/>
        </w:sectPr>
      </w:pPr>
    </w:p>
    <w:p>
      <w:pPr>
        <w:spacing w:line="560" w:lineRule="exact"/>
        <w:rPr>
          <w:rFonts w:hint="eastAsia" w:ascii="仿宋_GB2312" w:eastAsia="仿宋_GB2312"/>
          <w:sz w:val="32"/>
          <w:szCs w:val="32"/>
          <w:lang w:eastAsia="zh-CN"/>
        </w:rPr>
      </w:pPr>
      <w:r>
        <w:rPr>
          <w:rFonts w:hint="eastAsia" w:ascii="仿宋_GB2312" w:eastAsia="仿宋_GB2312"/>
          <w:sz w:val="32"/>
          <w:szCs w:val="32"/>
        </w:rPr>
        <w:t>附件</w:t>
      </w:r>
    </w:p>
    <w:p>
      <w:pPr>
        <w:spacing w:line="560" w:lineRule="exact"/>
        <w:jc w:val="center"/>
        <w:rPr>
          <w:rFonts w:hint="eastAsia" w:ascii="黑体" w:hAnsi="黑体" w:eastAsia="黑体"/>
          <w:sz w:val="36"/>
          <w:szCs w:val="36"/>
        </w:rPr>
      </w:pPr>
      <w:r>
        <w:rPr>
          <w:rFonts w:hint="eastAsia" w:ascii="黑体" w:hAnsi="黑体" w:eastAsia="黑体"/>
          <w:sz w:val="36"/>
          <w:szCs w:val="36"/>
        </w:rPr>
        <w:t>土壤污染重点监管单位隐患排查采购项目</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黑体" w:hAnsi="黑体" w:eastAsia="黑体"/>
          <w:sz w:val="36"/>
          <w:szCs w:val="36"/>
        </w:rPr>
      </w:pPr>
      <w:r>
        <w:rPr>
          <w:rFonts w:hint="eastAsia" w:ascii="黑体" w:hAnsi="黑体" w:eastAsia="黑体"/>
          <w:sz w:val="36"/>
          <w:szCs w:val="36"/>
          <w:lang w:val="en-US" w:eastAsia="zh-CN"/>
        </w:rPr>
        <w:t>2026年第</w:t>
      </w:r>
      <w:r>
        <w:rPr>
          <w:rFonts w:hint="eastAsia" w:ascii="黑体" w:hAnsi="黑体" w:eastAsia="黑体"/>
          <w:sz w:val="36"/>
          <w:szCs w:val="36"/>
          <w:u w:val="single"/>
          <w:lang w:val="en-US" w:eastAsia="zh-CN"/>
        </w:rPr>
        <w:t xml:space="preserve">    </w:t>
      </w:r>
      <w:r>
        <w:rPr>
          <w:rFonts w:hint="eastAsia" w:ascii="黑体" w:hAnsi="黑体" w:eastAsia="黑体"/>
          <w:sz w:val="36"/>
          <w:szCs w:val="36"/>
          <w:u w:val="none"/>
          <w:lang w:val="en-US" w:eastAsia="zh-CN"/>
        </w:rPr>
        <w:t>期</w:t>
      </w:r>
      <w:r>
        <w:rPr>
          <w:rFonts w:hint="eastAsia" w:ascii="黑体" w:hAnsi="黑体" w:eastAsia="黑体"/>
          <w:sz w:val="36"/>
          <w:szCs w:val="36"/>
        </w:rPr>
        <w:t>考核</w:t>
      </w:r>
      <w:r>
        <w:rPr>
          <w:rFonts w:hint="eastAsia" w:ascii="黑体" w:hAnsi="黑体" w:eastAsia="黑体"/>
          <w:sz w:val="36"/>
          <w:szCs w:val="36"/>
          <w:lang w:eastAsia="zh-CN"/>
        </w:rPr>
        <w:t>情况</w:t>
      </w:r>
      <w:r>
        <w:rPr>
          <w:rFonts w:hint="eastAsia" w:ascii="黑体" w:hAnsi="黑体" w:eastAsia="黑体"/>
          <w:sz w:val="36"/>
          <w:szCs w:val="36"/>
        </w:rPr>
        <w:t>表</w:t>
      </w:r>
    </w:p>
    <w:tbl>
      <w:tblPr>
        <w:tblStyle w:val="8"/>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2503"/>
        <w:gridCol w:w="1572"/>
        <w:gridCol w:w="1887"/>
        <w:gridCol w:w="1942"/>
        <w:gridCol w:w="2199"/>
        <w:gridCol w:w="2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exact"/>
          <w:jc w:val="center"/>
        </w:trPr>
        <w:tc>
          <w:tcPr>
            <w:tcW w:w="1730"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类别</w:t>
            </w:r>
          </w:p>
        </w:tc>
        <w:tc>
          <w:tcPr>
            <w:tcW w:w="2503"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考核主体一</w:t>
            </w:r>
          </w:p>
        </w:tc>
        <w:tc>
          <w:tcPr>
            <w:tcW w:w="1572"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考核主体二</w:t>
            </w:r>
          </w:p>
        </w:tc>
        <w:tc>
          <w:tcPr>
            <w:tcW w:w="1887"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合计</w:t>
            </w:r>
          </w:p>
        </w:tc>
        <w:tc>
          <w:tcPr>
            <w:tcW w:w="1942" w:type="dxa"/>
            <w:noWrap w:val="0"/>
            <w:vAlign w:val="center"/>
          </w:tcPr>
          <w:p>
            <w:pPr>
              <w:spacing w:line="560" w:lineRule="exact"/>
              <w:jc w:val="center"/>
              <w:rPr>
                <w:rFonts w:hint="eastAsia" w:ascii="仿宋_GB2312" w:hAnsi="Times New Roman" w:eastAsia="仿宋_GB2312"/>
                <w:b/>
                <w:sz w:val="24"/>
                <w:szCs w:val="24"/>
                <w:lang w:eastAsia="zh-CN"/>
              </w:rPr>
            </w:pPr>
            <w:r>
              <w:rPr>
                <w:rFonts w:hint="eastAsia" w:ascii="仿宋_GB2312" w:hAnsi="Times New Roman" w:eastAsia="仿宋_GB2312"/>
                <w:b/>
                <w:sz w:val="24"/>
                <w:szCs w:val="24"/>
                <w:lang w:eastAsia="zh-CN"/>
              </w:rPr>
              <w:t>考核等次</w:t>
            </w:r>
          </w:p>
        </w:tc>
        <w:tc>
          <w:tcPr>
            <w:tcW w:w="2199" w:type="dxa"/>
            <w:noWrap w:val="0"/>
            <w:vAlign w:val="center"/>
          </w:tcPr>
          <w:p>
            <w:pPr>
              <w:spacing w:line="560" w:lineRule="exact"/>
              <w:jc w:val="center"/>
              <w:rPr>
                <w:rFonts w:hint="eastAsia" w:ascii="仿宋_GB2312" w:hAnsi="Times New Roman" w:eastAsia="仿宋_GB2312"/>
                <w:b/>
                <w:sz w:val="24"/>
                <w:szCs w:val="24"/>
                <w:lang w:eastAsia="zh-CN"/>
              </w:rPr>
            </w:pPr>
            <w:r>
              <w:rPr>
                <w:rFonts w:hint="eastAsia" w:ascii="仿宋_GB2312" w:hAnsi="Times New Roman" w:eastAsia="仿宋_GB2312"/>
                <w:b/>
                <w:sz w:val="24"/>
                <w:szCs w:val="24"/>
                <w:lang w:eastAsia="zh-CN"/>
              </w:rPr>
              <w:t>支付服务费情况</w:t>
            </w:r>
          </w:p>
        </w:tc>
        <w:tc>
          <w:tcPr>
            <w:tcW w:w="2342" w:type="dxa"/>
            <w:noWrap w:val="0"/>
            <w:vAlign w:val="center"/>
          </w:tcPr>
          <w:p>
            <w:pPr>
              <w:spacing w:line="560" w:lineRule="exact"/>
              <w:jc w:val="center"/>
              <w:rPr>
                <w:rFonts w:hint="eastAsia" w:ascii="仿宋_GB2312" w:hAnsi="Times New Roman" w:eastAsia="仿宋_GB2312"/>
                <w:b/>
                <w:sz w:val="24"/>
                <w:szCs w:val="24"/>
                <w:lang w:eastAsia="zh-CN"/>
              </w:rPr>
            </w:pPr>
            <w:r>
              <w:rPr>
                <w:rFonts w:hint="eastAsia" w:ascii="仿宋_GB2312" w:hAnsi="Times New Roman" w:eastAsia="仿宋_GB2312"/>
                <w:b/>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exact"/>
          <w:jc w:val="center"/>
        </w:trPr>
        <w:tc>
          <w:tcPr>
            <w:tcW w:w="1730"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具体考核单位</w:t>
            </w:r>
          </w:p>
        </w:tc>
        <w:tc>
          <w:tcPr>
            <w:tcW w:w="2503"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lang w:eastAsia="zh-CN"/>
              </w:rPr>
              <w:t>水和</w:t>
            </w:r>
            <w:r>
              <w:rPr>
                <w:rFonts w:hint="eastAsia" w:ascii="仿宋_GB2312" w:hAnsi="Times New Roman" w:eastAsia="仿宋_GB2312"/>
                <w:b/>
                <w:sz w:val="24"/>
                <w:szCs w:val="24"/>
              </w:rPr>
              <w:t>土壤生态环境科</w:t>
            </w:r>
          </w:p>
        </w:tc>
        <w:tc>
          <w:tcPr>
            <w:tcW w:w="1572"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w:t>
            </w:r>
          </w:p>
        </w:tc>
        <w:tc>
          <w:tcPr>
            <w:tcW w:w="1887"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w:t>
            </w:r>
          </w:p>
        </w:tc>
        <w:tc>
          <w:tcPr>
            <w:tcW w:w="1942" w:type="dxa"/>
            <w:vMerge w:val="restart"/>
            <w:noWrap w:val="0"/>
            <w:vAlign w:val="center"/>
          </w:tcPr>
          <w:p>
            <w:pPr>
              <w:spacing w:line="560" w:lineRule="exact"/>
              <w:jc w:val="center"/>
              <w:rPr>
                <w:rFonts w:hint="eastAsia" w:ascii="仿宋_GB2312" w:hAnsi="Times New Roman" w:eastAsia="仿宋_GB2312"/>
                <w:b/>
                <w:sz w:val="24"/>
                <w:szCs w:val="24"/>
              </w:rPr>
            </w:pPr>
          </w:p>
        </w:tc>
        <w:tc>
          <w:tcPr>
            <w:tcW w:w="2199" w:type="dxa"/>
            <w:vMerge w:val="restart"/>
            <w:noWrap w:val="0"/>
            <w:vAlign w:val="center"/>
          </w:tcPr>
          <w:p>
            <w:pPr>
              <w:spacing w:line="560" w:lineRule="exact"/>
              <w:jc w:val="center"/>
              <w:rPr>
                <w:rFonts w:hint="eastAsia" w:ascii="仿宋_GB2312" w:hAnsi="Times New Roman" w:eastAsia="仿宋_GB2312"/>
                <w:b/>
                <w:sz w:val="24"/>
                <w:szCs w:val="24"/>
              </w:rPr>
            </w:pPr>
          </w:p>
        </w:tc>
        <w:tc>
          <w:tcPr>
            <w:tcW w:w="2342" w:type="dxa"/>
            <w:vMerge w:val="restart"/>
            <w:noWrap w:val="0"/>
            <w:vAlign w:val="center"/>
          </w:tcPr>
          <w:p>
            <w:pPr>
              <w:spacing w:line="560" w:lineRule="exact"/>
              <w:jc w:val="center"/>
              <w:rPr>
                <w:rFonts w:hint="eastAsia" w:ascii="仿宋_GB2312" w:hAnsi="Times New Roman" w:eastAsia="仿宋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exact"/>
          <w:jc w:val="center"/>
        </w:trPr>
        <w:tc>
          <w:tcPr>
            <w:tcW w:w="1730"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权重（%）</w:t>
            </w:r>
          </w:p>
        </w:tc>
        <w:tc>
          <w:tcPr>
            <w:tcW w:w="2503"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100</w:t>
            </w:r>
            <w:r>
              <w:rPr>
                <w:rFonts w:ascii="仿宋_GB2312" w:hAnsi="Times New Roman" w:eastAsia="仿宋_GB2312"/>
                <w:b/>
                <w:sz w:val="24"/>
                <w:szCs w:val="24"/>
              </w:rPr>
              <w:t>%</w:t>
            </w:r>
          </w:p>
        </w:tc>
        <w:tc>
          <w:tcPr>
            <w:tcW w:w="1572"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w:t>
            </w:r>
          </w:p>
        </w:tc>
        <w:tc>
          <w:tcPr>
            <w:tcW w:w="1887"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100%</w:t>
            </w:r>
          </w:p>
        </w:tc>
        <w:tc>
          <w:tcPr>
            <w:tcW w:w="1942" w:type="dxa"/>
            <w:vMerge w:val="continue"/>
            <w:noWrap w:val="0"/>
            <w:vAlign w:val="center"/>
          </w:tcPr>
          <w:p>
            <w:pPr>
              <w:spacing w:line="560" w:lineRule="exact"/>
              <w:jc w:val="center"/>
              <w:rPr>
                <w:rFonts w:hint="eastAsia" w:ascii="仿宋_GB2312" w:hAnsi="Times New Roman" w:eastAsia="仿宋_GB2312"/>
                <w:b/>
                <w:sz w:val="24"/>
                <w:szCs w:val="24"/>
              </w:rPr>
            </w:pPr>
          </w:p>
        </w:tc>
        <w:tc>
          <w:tcPr>
            <w:tcW w:w="2199" w:type="dxa"/>
            <w:vMerge w:val="continue"/>
            <w:noWrap w:val="0"/>
            <w:vAlign w:val="center"/>
          </w:tcPr>
          <w:p>
            <w:pPr>
              <w:spacing w:line="560" w:lineRule="exact"/>
              <w:jc w:val="center"/>
              <w:rPr>
                <w:rFonts w:hint="eastAsia" w:ascii="仿宋_GB2312" w:hAnsi="Times New Roman" w:eastAsia="仿宋_GB2312"/>
                <w:b/>
                <w:sz w:val="24"/>
                <w:szCs w:val="24"/>
              </w:rPr>
            </w:pPr>
          </w:p>
        </w:tc>
        <w:tc>
          <w:tcPr>
            <w:tcW w:w="2342" w:type="dxa"/>
            <w:vMerge w:val="continue"/>
            <w:noWrap w:val="0"/>
            <w:vAlign w:val="center"/>
          </w:tcPr>
          <w:p>
            <w:pPr>
              <w:spacing w:line="560" w:lineRule="exact"/>
              <w:jc w:val="center"/>
              <w:rPr>
                <w:rFonts w:hint="eastAsia" w:ascii="仿宋_GB2312" w:hAnsi="Times New Roman" w:eastAsia="仿宋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exact"/>
          <w:jc w:val="center"/>
        </w:trPr>
        <w:tc>
          <w:tcPr>
            <w:tcW w:w="1730"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考核分值</w:t>
            </w:r>
          </w:p>
        </w:tc>
        <w:tc>
          <w:tcPr>
            <w:tcW w:w="2503" w:type="dxa"/>
            <w:noWrap w:val="0"/>
            <w:vAlign w:val="center"/>
          </w:tcPr>
          <w:p>
            <w:pPr>
              <w:spacing w:line="560" w:lineRule="exact"/>
              <w:jc w:val="center"/>
              <w:rPr>
                <w:rFonts w:hint="default" w:ascii="仿宋_GB2312" w:hAnsi="Times New Roman" w:eastAsia="仿宋_GB2312"/>
                <w:b/>
                <w:sz w:val="24"/>
                <w:szCs w:val="24"/>
                <w:lang w:val="en-US" w:eastAsia="zh-CN"/>
              </w:rPr>
            </w:pPr>
            <w:r>
              <w:rPr>
                <w:rFonts w:hint="eastAsia" w:ascii="仿宋_GB2312" w:hAnsi="Times New Roman" w:eastAsia="仿宋_GB2312"/>
                <w:b/>
                <w:sz w:val="24"/>
                <w:szCs w:val="24"/>
                <w:lang w:val="en-US" w:eastAsia="zh-CN"/>
              </w:rPr>
              <w:t>100</w:t>
            </w:r>
          </w:p>
        </w:tc>
        <w:tc>
          <w:tcPr>
            <w:tcW w:w="1572" w:type="dxa"/>
            <w:noWrap w:val="0"/>
            <w:vAlign w:val="center"/>
          </w:tcPr>
          <w:p>
            <w:pPr>
              <w:spacing w:line="560" w:lineRule="exact"/>
              <w:jc w:val="center"/>
              <w:rPr>
                <w:rFonts w:hint="default" w:ascii="仿宋_GB2312" w:hAnsi="Times New Roman" w:eastAsia="仿宋_GB2312"/>
                <w:b/>
                <w:sz w:val="24"/>
                <w:szCs w:val="24"/>
                <w:lang w:val="en"/>
              </w:rPr>
            </w:pPr>
            <w:r>
              <w:rPr>
                <w:rFonts w:hint="default" w:ascii="仿宋_GB2312" w:hAnsi="Times New Roman" w:eastAsia="仿宋_GB2312"/>
                <w:b/>
                <w:sz w:val="24"/>
                <w:szCs w:val="24"/>
                <w:lang w:val="en"/>
              </w:rPr>
              <w:t>/</w:t>
            </w:r>
          </w:p>
        </w:tc>
        <w:tc>
          <w:tcPr>
            <w:tcW w:w="1887" w:type="dxa"/>
            <w:noWrap w:val="0"/>
            <w:vAlign w:val="center"/>
          </w:tcPr>
          <w:p>
            <w:pPr>
              <w:spacing w:line="560" w:lineRule="exact"/>
              <w:jc w:val="center"/>
              <w:rPr>
                <w:rFonts w:hint="default" w:ascii="仿宋_GB2312" w:hAnsi="Times New Roman" w:eastAsia="仿宋_GB2312"/>
                <w:b/>
                <w:sz w:val="24"/>
                <w:szCs w:val="24"/>
                <w:lang w:val="en-US" w:eastAsia="zh-CN"/>
              </w:rPr>
            </w:pPr>
            <w:r>
              <w:rPr>
                <w:rFonts w:hint="eastAsia" w:ascii="仿宋_GB2312" w:hAnsi="Times New Roman" w:eastAsia="仿宋_GB2312"/>
                <w:b/>
                <w:sz w:val="24"/>
                <w:szCs w:val="24"/>
                <w:lang w:val="en-US" w:eastAsia="zh-CN"/>
              </w:rPr>
              <w:t>100</w:t>
            </w:r>
          </w:p>
        </w:tc>
        <w:tc>
          <w:tcPr>
            <w:tcW w:w="1942" w:type="dxa"/>
            <w:vMerge w:val="continue"/>
            <w:noWrap w:val="0"/>
            <w:vAlign w:val="center"/>
          </w:tcPr>
          <w:p>
            <w:pPr>
              <w:spacing w:line="560" w:lineRule="exact"/>
              <w:jc w:val="center"/>
              <w:rPr>
                <w:rFonts w:hint="eastAsia" w:ascii="仿宋_GB2312" w:hAnsi="Times New Roman" w:eastAsia="仿宋_GB2312"/>
                <w:b/>
                <w:sz w:val="24"/>
                <w:szCs w:val="24"/>
                <w:lang w:val="en-US" w:eastAsia="zh-CN"/>
              </w:rPr>
            </w:pPr>
          </w:p>
        </w:tc>
        <w:tc>
          <w:tcPr>
            <w:tcW w:w="2199" w:type="dxa"/>
            <w:vMerge w:val="continue"/>
            <w:noWrap w:val="0"/>
            <w:vAlign w:val="center"/>
          </w:tcPr>
          <w:p>
            <w:pPr>
              <w:spacing w:line="560" w:lineRule="exact"/>
              <w:jc w:val="center"/>
              <w:rPr>
                <w:rFonts w:hint="eastAsia" w:ascii="仿宋_GB2312" w:hAnsi="Times New Roman" w:eastAsia="仿宋_GB2312"/>
                <w:b/>
                <w:sz w:val="24"/>
                <w:szCs w:val="24"/>
                <w:lang w:val="en-US" w:eastAsia="zh-CN"/>
              </w:rPr>
            </w:pPr>
          </w:p>
        </w:tc>
        <w:tc>
          <w:tcPr>
            <w:tcW w:w="2342" w:type="dxa"/>
            <w:vMerge w:val="continue"/>
            <w:noWrap w:val="0"/>
            <w:vAlign w:val="center"/>
          </w:tcPr>
          <w:p>
            <w:pPr>
              <w:spacing w:line="560" w:lineRule="exact"/>
              <w:jc w:val="center"/>
              <w:rPr>
                <w:rFonts w:hint="eastAsia" w:ascii="仿宋_GB2312" w:hAnsi="Times New Roman" w:eastAsia="仿宋_GB2312"/>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exact"/>
          <w:jc w:val="center"/>
        </w:trPr>
        <w:tc>
          <w:tcPr>
            <w:tcW w:w="1730" w:type="dxa"/>
            <w:noWrap w:val="0"/>
            <w:vAlign w:val="center"/>
          </w:tcPr>
          <w:p>
            <w:pPr>
              <w:spacing w:line="560" w:lineRule="exact"/>
              <w:jc w:val="center"/>
              <w:rPr>
                <w:rFonts w:ascii="仿宋_GB2312" w:hAnsi="Times New Roman" w:eastAsia="仿宋_GB2312"/>
                <w:b/>
                <w:sz w:val="24"/>
                <w:szCs w:val="24"/>
              </w:rPr>
            </w:pPr>
            <w:r>
              <w:rPr>
                <w:rFonts w:hint="eastAsia" w:ascii="仿宋_GB2312" w:hAnsi="Times New Roman" w:eastAsia="仿宋_GB2312"/>
                <w:b/>
                <w:sz w:val="24"/>
                <w:szCs w:val="24"/>
              </w:rPr>
              <w:t>实际分值</w:t>
            </w:r>
          </w:p>
        </w:tc>
        <w:tc>
          <w:tcPr>
            <w:tcW w:w="2503" w:type="dxa"/>
            <w:noWrap w:val="0"/>
            <w:vAlign w:val="center"/>
          </w:tcPr>
          <w:p>
            <w:pPr>
              <w:spacing w:line="560" w:lineRule="exact"/>
              <w:jc w:val="center"/>
              <w:rPr>
                <w:rFonts w:ascii="仿宋_GB2312" w:hAnsi="Times New Roman" w:eastAsia="仿宋_GB2312"/>
                <w:b/>
                <w:sz w:val="24"/>
                <w:szCs w:val="24"/>
              </w:rPr>
            </w:pPr>
          </w:p>
        </w:tc>
        <w:tc>
          <w:tcPr>
            <w:tcW w:w="1572" w:type="dxa"/>
            <w:noWrap w:val="0"/>
            <w:vAlign w:val="center"/>
          </w:tcPr>
          <w:p>
            <w:pPr>
              <w:spacing w:line="560" w:lineRule="exact"/>
              <w:jc w:val="center"/>
              <w:rPr>
                <w:rFonts w:hint="default" w:ascii="仿宋_GB2312" w:hAnsi="Times New Roman" w:eastAsia="仿宋_GB2312"/>
                <w:b/>
                <w:sz w:val="24"/>
                <w:szCs w:val="24"/>
                <w:lang w:val="en"/>
              </w:rPr>
            </w:pPr>
            <w:r>
              <w:rPr>
                <w:rFonts w:hint="default" w:ascii="仿宋_GB2312" w:hAnsi="Times New Roman" w:eastAsia="仿宋_GB2312"/>
                <w:b/>
                <w:sz w:val="24"/>
                <w:szCs w:val="24"/>
                <w:lang w:val="en"/>
              </w:rPr>
              <w:t>/</w:t>
            </w:r>
          </w:p>
        </w:tc>
        <w:tc>
          <w:tcPr>
            <w:tcW w:w="1887" w:type="dxa"/>
            <w:noWrap w:val="0"/>
            <w:vAlign w:val="center"/>
          </w:tcPr>
          <w:p>
            <w:pPr>
              <w:spacing w:line="560" w:lineRule="exact"/>
              <w:jc w:val="center"/>
              <w:rPr>
                <w:rFonts w:ascii="仿宋_GB2312" w:hAnsi="Times New Roman" w:eastAsia="仿宋_GB2312"/>
                <w:b/>
                <w:sz w:val="24"/>
                <w:szCs w:val="24"/>
              </w:rPr>
            </w:pPr>
          </w:p>
        </w:tc>
        <w:tc>
          <w:tcPr>
            <w:tcW w:w="1942" w:type="dxa"/>
            <w:vMerge w:val="continue"/>
            <w:noWrap w:val="0"/>
            <w:vAlign w:val="center"/>
          </w:tcPr>
          <w:p>
            <w:pPr>
              <w:spacing w:line="560" w:lineRule="exact"/>
              <w:jc w:val="center"/>
              <w:rPr>
                <w:rFonts w:ascii="仿宋_GB2312" w:hAnsi="Times New Roman" w:eastAsia="仿宋_GB2312"/>
                <w:b/>
                <w:sz w:val="24"/>
                <w:szCs w:val="24"/>
              </w:rPr>
            </w:pPr>
          </w:p>
        </w:tc>
        <w:tc>
          <w:tcPr>
            <w:tcW w:w="2199" w:type="dxa"/>
            <w:vMerge w:val="continue"/>
            <w:noWrap w:val="0"/>
            <w:vAlign w:val="center"/>
          </w:tcPr>
          <w:p>
            <w:pPr>
              <w:spacing w:line="560" w:lineRule="exact"/>
              <w:jc w:val="center"/>
              <w:rPr>
                <w:rFonts w:ascii="仿宋_GB2312" w:hAnsi="Times New Roman" w:eastAsia="仿宋_GB2312"/>
                <w:b/>
                <w:sz w:val="24"/>
                <w:szCs w:val="24"/>
              </w:rPr>
            </w:pPr>
          </w:p>
        </w:tc>
        <w:tc>
          <w:tcPr>
            <w:tcW w:w="2342" w:type="dxa"/>
            <w:vMerge w:val="continue"/>
            <w:noWrap w:val="0"/>
            <w:vAlign w:val="center"/>
          </w:tcPr>
          <w:p>
            <w:pPr>
              <w:spacing w:line="560" w:lineRule="exact"/>
              <w:jc w:val="center"/>
              <w:rPr>
                <w:rFonts w:ascii="仿宋_GB2312" w:hAnsi="Times New Roman" w:eastAsia="仿宋_GB2312"/>
                <w:b/>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560" w:lineRule="exact"/>
        <w:ind w:left="1360" w:leftChars="400"/>
        <w:textAlignment w:val="auto"/>
        <w:rPr>
          <w:rFonts w:ascii="仿宋_GB2312" w:eastAsia="仿宋_GB2312"/>
          <w:sz w:val="24"/>
          <w:szCs w:val="24"/>
        </w:rPr>
      </w:pPr>
      <w:r>
        <w:rPr>
          <w:rFonts w:hint="eastAsia" w:ascii="仿宋_GB2312" w:eastAsia="仿宋_GB2312"/>
          <w:sz w:val="24"/>
          <w:szCs w:val="24"/>
        </w:rPr>
        <w:t>使用管理部门负责人签字：                 主管部门负责人签字：                       承接主体负责人签字：</w:t>
      </w:r>
    </w:p>
    <w:p>
      <w:pPr>
        <w:keepNext w:val="0"/>
        <w:keepLines w:val="0"/>
        <w:pageBreakBefore w:val="0"/>
        <w:widowControl w:val="0"/>
        <w:kinsoku/>
        <w:wordWrap/>
        <w:overflowPunct/>
        <w:topLinePunct w:val="0"/>
        <w:autoSpaceDE/>
        <w:autoSpaceDN/>
        <w:bidi w:val="0"/>
        <w:adjustRightInd/>
        <w:snapToGrid/>
        <w:spacing w:line="560" w:lineRule="exact"/>
        <w:ind w:left="1360" w:leftChars="400"/>
        <w:textAlignment w:val="auto"/>
        <w:rPr>
          <w:rFonts w:ascii="仿宋_GB2312" w:eastAsia="仿宋_GB2312"/>
          <w:sz w:val="24"/>
          <w:szCs w:val="24"/>
        </w:rPr>
      </w:pPr>
      <w:r>
        <w:rPr>
          <w:rFonts w:hint="eastAsia" w:ascii="仿宋_GB2312" w:eastAsia="仿宋_GB2312"/>
          <w:sz w:val="24"/>
          <w:szCs w:val="24"/>
        </w:rPr>
        <w:t>部门盖章：                               部门盖章：                                 单位盖章：</w:t>
      </w:r>
    </w:p>
    <w:p>
      <w:pPr>
        <w:keepNext w:val="0"/>
        <w:keepLines w:val="0"/>
        <w:pageBreakBefore w:val="0"/>
        <w:widowControl w:val="0"/>
        <w:kinsoku/>
        <w:wordWrap/>
        <w:overflowPunct/>
        <w:topLinePunct w:val="0"/>
        <w:autoSpaceDE/>
        <w:autoSpaceDN/>
        <w:bidi w:val="0"/>
        <w:adjustRightInd/>
        <w:snapToGrid/>
        <w:spacing w:line="560" w:lineRule="exact"/>
        <w:ind w:left="1360" w:leftChars="400"/>
        <w:textAlignment w:val="auto"/>
        <w:rPr>
          <w:rFonts w:ascii="仿宋_GB2312" w:eastAsia="仿宋_GB2312"/>
          <w:sz w:val="24"/>
          <w:szCs w:val="24"/>
        </w:rPr>
      </w:pPr>
      <w:r>
        <w:rPr>
          <w:rFonts w:hint="eastAsia" w:ascii="仿宋_GB2312" w:eastAsia="仿宋_GB2312"/>
          <w:sz w:val="24"/>
          <w:szCs w:val="24"/>
        </w:rPr>
        <w:t>日期：                                   日期：                                     日期：</w:t>
      </w:r>
    </w:p>
    <w:p>
      <w:pPr>
        <w:keepNext w:val="0"/>
        <w:keepLines w:val="0"/>
        <w:pageBreakBefore w:val="0"/>
        <w:widowControl w:val="0"/>
        <w:kinsoku/>
        <w:wordWrap/>
        <w:overflowPunct/>
        <w:topLinePunct w:val="0"/>
        <w:autoSpaceDE/>
        <w:autoSpaceDN/>
        <w:bidi w:val="0"/>
        <w:adjustRightInd/>
        <w:snapToGrid/>
        <w:spacing w:before="157" w:beforeLines="50" w:line="440" w:lineRule="exact"/>
        <w:ind w:left="1360" w:leftChars="400"/>
        <w:textAlignment w:val="auto"/>
        <w:rPr>
          <w:rFonts w:ascii="仿宋_GB2312" w:eastAsia="仿宋_GB2312"/>
          <w:b/>
          <w:sz w:val="24"/>
          <w:szCs w:val="24"/>
        </w:rPr>
      </w:pPr>
      <w:r>
        <w:rPr>
          <w:rFonts w:hint="eastAsia" w:ascii="仿宋_GB2312" w:eastAsia="仿宋_GB2312"/>
          <w:b/>
          <w:sz w:val="24"/>
          <w:szCs w:val="24"/>
        </w:rPr>
        <w:t>备注：1、具体考核单位、权重由主管部门根据考核细则填列；</w:t>
      </w:r>
    </w:p>
    <w:p>
      <w:pPr>
        <w:keepNext w:val="0"/>
        <w:keepLines w:val="0"/>
        <w:pageBreakBefore w:val="0"/>
        <w:widowControl w:val="0"/>
        <w:kinsoku/>
        <w:wordWrap/>
        <w:overflowPunct/>
        <w:topLinePunct w:val="0"/>
        <w:autoSpaceDE/>
        <w:autoSpaceDN/>
        <w:bidi w:val="0"/>
        <w:adjustRightInd/>
        <w:snapToGrid/>
        <w:spacing w:line="440" w:lineRule="exact"/>
        <w:ind w:left="1360" w:leftChars="400" w:firstLine="723" w:firstLineChars="300"/>
        <w:textAlignment w:val="auto"/>
        <w:rPr>
          <w:rFonts w:ascii="仿宋_GB2312" w:eastAsia="仿宋_GB2312"/>
          <w:b/>
          <w:sz w:val="24"/>
          <w:szCs w:val="24"/>
        </w:rPr>
      </w:pPr>
      <w:r>
        <w:rPr>
          <w:rFonts w:hint="eastAsia" w:ascii="仿宋_GB2312" w:eastAsia="仿宋_GB2312"/>
          <w:b/>
          <w:sz w:val="24"/>
          <w:szCs w:val="24"/>
        </w:rPr>
        <w:t>2、得分由各考核主体按</w:t>
      </w:r>
      <w:r>
        <w:rPr>
          <w:rFonts w:hint="eastAsia" w:ascii="仿宋_GB2312" w:eastAsia="仿宋_GB2312"/>
          <w:b/>
          <w:sz w:val="24"/>
          <w:szCs w:val="24"/>
          <w:lang w:eastAsia="zh-CN"/>
        </w:rPr>
        <w:t>时</w:t>
      </w:r>
      <w:r>
        <w:rPr>
          <w:rFonts w:hint="eastAsia" w:ascii="仿宋_GB2312" w:eastAsia="仿宋_GB2312"/>
          <w:b/>
          <w:sz w:val="24"/>
          <w:szCs w:val="24"/>
        </w:rPr>
        <w:t>给使用管理部门汇总，报主管部门备案；</w:t>
      </w:r>
    </w:p>
    <w:p>
      <w:pPr>
        <w:keepNext w:val="0"/>
        <w:keepLines w:val="0"/>
        <w:pageBreakBefore w:val="0"/>
        <w:widowControl w:val="0"/>
        <w:kinsoku/>
        <w:wordWrap/>
        <w:overflowPunct/>
        <w:topLinePunct w:val="0"/>
        <w:autoSpaceDE/>
        <w:autoSpaceDN/>
        <w:bidi w:val="0"/>
        <w:adjustRightInd/>
        <w:snapToGrid/>
        <w:spacing w:line="440" w:lineRule="exact"/>
        <w:ind w:left="1360" w:leftChars="400" w:firstLine="723" w:firstLineChars="300"/>
        <w:textAlignment w:val="auto"/>
        <w:rPr>
          <w:rFonts w:hint="eastAsia" w:ascii="仿宋_GB2312" w:eastAsia="仿宋_GB2312"/>
          <w:b/>
          <w:sz w:val="24"/>
          <w:szCs w:val="24"/>
        </w:rPr>
      </w:pPr>
      <w:r>
        <w:rPr>
          <w:rFonts w:hint="eastAsia" w:ascii="仿宋_GB2312" w:eastAsia="仿宋_GB2312"/>
          <w:b/>
          <w:sz w:val="24"/>
          <w:szCs w:val="24"/>
        </w:rPr>
        <w:t>3、主管部门根据考核</w:t>
      </w:r>
      <w:r>
        <w:rPr>
          <w:rFonts w:hint="eastAsia" w:ascii="仿宋_GB2312" w:eastAsia="仿宋_GB2312"/>
          <w:b/>
          <w:sz w:val="24"/>
          <w:szCs w:val="24"/>
          <w:lang w:eastAsia="zh-CN"/>
        </w:rPr>
        <w:t>情况</w:t>
      </w:r>
      <w:r>
        <w:rPr>
          <w:rFonts w:hint="eastAsia" w:ascii="仿宋_GB2312" w:eastAsia="仿宋_GB2312"/>
          <w:b/>
          <w:sz w:val="24"/>
          <w:szCs w:val="24"/>
        </w:rPr>
        <w:t>表和考核细则，计算应付服务费，随其他凭据一并报财务办复核报销；</w:t>
      </w:r>
    </w:p>
    <w:p>
      <w:pPr>
        <w:keepNext w:val="0"/>
        <w:keepLines w:val="0"/>
        <w:pageBreakBefore w:val="0"/>
        <w:widowControl w:val="0"/>
        <w:kinsoku/>
        <w:wordWrap/>
        <w:overflowPunct/>
        <w:topLinePunct w:val="0"/>
        <w:autoSpaceDE/>
        <w:autoSpaceDN/>
        <w:bidi w:val="0"/>
        <w:adjustRightInd/>
        <w:snapToGrid/>
        <w:spacing w:line="440" w:lineRule="exact"/>
        <w:ind w:left="1360" w:leftChars="400" w:firstLine="723" w:firstLineChars="300"/>
        <w:textAlignment w:val="auto"/>
        <w:rPr>
          <w:rFonts w:hint="eastAsia" w:ascii="楷体" w:hAnsi="楷体" w:eastAsia="楷体"/>
          <w:b/>
          <w:sz w:val="32"/>
          <w:szCs w:val="32"/>
        </w:rPr>
      </w:pPr>
      <w:r>
        <w:rPr>
          <w:rFonts w:hint="eastAsia" w:ascii="仿宋_GB2312" w:eastAsia="仿宋_GB2312"/>
          <w:b/>
          <w:sz w:val="24"/>
          <w:szCs w:val="24"/>
        </w:rPr>
        <w:t>4、此表一式四份，使用管理</w:t>
      </w:r>
      <w:r>
        <w:rPr>
          <w:rFonts w:ascii="仿宋_GB2312" w:eastAsia="仿宋_GB2312"/>
          <w:b/>
          <w:sz w:val="24"/>
          <w:szCs w:val="24"/>
        </w:rPr>
        <w:t>部门</w:t>
      </w:r>
      <w:r>
        <w:rPr>
          <w:rFonts w:hint="eastAsia" w:ascii="仿宋_GB2312" w:eastAsia="仿宋_GB2312"/>
          <w:b/>
          <w:sz w:val="24"/>
          <w:szCs w:val="24"/>
        </w:rPr>
        <w:t>、主管部门、承接主体、财务办各执一份。</w:t>
      </w:r>
    </w:p>
    <w:p>
      <w:pPr>
        <w:keepNext w:val="0"/>
        <w:keepLines w:val="0"/>
        <w:pageBreakBefore w:val="0"/>
        <w:widowControl/>
        <w:kinsoku/>
        <w:wordWrap/>
        <w:overflowPunct/>
        <w:topLinePunct w:val="0"/>
        <w:autoSpaceDE/>
        <w:autoSpaceDN/>
        <w:bidi w:val="0"/>
        <w:adjustRightInd/>
        <w:snapToGrid/>
        <w:spacing w:after="157" w:afterLines="50"/>
        <w:jc w:val="center"/>
        <w:textAlignment w:val="auto"/>
        <w:rPr>
          <w:rFonts w:hint="eastAsia" w:ascii="楷体" w:hAnsi="楷体" w:eastAsia="楷体"/>
          <w:b/>
          <w:sz w:val="32"/>
          <w:szCs w:val="32"/>
        </w:rPr>
        <w:sectPr>
          <w:pgSz w:w="16838" w:h="11906" w:orient="landscape"/>
          <w:pgMar w:top="1378" w:right="1440" w:bottom="1202" w:left="1440" w:header="851" w:footer="992" w:gutter="0"/>
          <w:paperSrc/>
          <w:cols w:space="0" w:num="1"/>
          <w:rtlGutter w:val="0"/>
          <w:docGrid w:type="lines" w:linePitch="466" w:charSpace="0"/>
        </w:sectPr>
      </w:pPr>
    </w:p>
    <w:p>
      <w:pPr>
        <w:keepNext w:val="0"/>
        <w:keepLines w:val="0"/>
        <w:pageBreakBefore w:val="0"/>
        <w:widowControl/>
        <w:kinsoku/>
        <w:wordWrap/>
        <w:overflowPunct/>
        <w:topLinePunct w:val="0"/>
        <w:autoSpaceDE/>
        <w:autoSpaceDN/>
        <w:bidi w:val="0"/>
        <w:adjustRightInd/>
        <w:snapToGrid/>
        <w:spacing w:after="157" w:afterLines="50"/>
        <w:jc w:val="center"/>
        <w:textAlignment w:val="auto"/>
        <w:rPr>
          <w:rFonts w:ascii="楷体" w:hAnsi="楷体" w:eastAsia="楷体"/>
          <w:b/>
          <w:sz w:val="28"/>
          <w:szCs w:val="28"/>
        </w:rPr>
      </w:pPr>
      <w:r>
        <w:rPr>
          <w:rFonts w:hint="eastAsia" w:ascii="楷体" w:hAnsi="楷体" w:eastAsia="楷体"/>
          <w:b/>
          <w:sz w:val="32"/>
          <w:szCs w:val="32"/>
        </w:rPr>
        <w:t>土壤污染重点监管单位隐患排查服务质量评价细则</w:t>
      </w:r>
    </w:p>
    <w:p>
      <w:pPr>
        <w:widowControl/>
        <w:jc w:val="both"/>
        <w:rPr>
          <w:rFonts w:hint="eastAsia" w:ascii="仿宋_GB2312" w:hAnsi="仿宋_GB2312" w:eastAsia="仿宋_GB2312" w:cs="仿宋_GB2312"/>
          <w:sz w:val="24"/>
          <w:szCs w:val="24"/>
        </w:rPr>
      </w:pPr>
    </w:p>
    <w:p>
      <w:pPr>
        <w:keepNext w:val="0"/>
        <w:keepLines w:val="0"/>
        <w:pageBreakBefore w:val="0"/>
        <w:widowControl/>
        <w:kinsoku/>
        <w:wordWrap/>
        <w:overflowPunct/>
        <w:topLinePunct w:val="0"/>
        <w:autoSpaceDE/>
        <w:autoSpaceDN/>
        <w:bidi w:val="0"/>
        <w:adjustRightInd/>
        <w:snapToGrid/>
        <w:spacing w:after="157" w:afterLines="50"/>
        <w:ind w:right="0" w:rightChars="0"/>
        <w:jc w:val="both"/>
        <w:textAlignment w:val="auto"/>
        <w:rPr>
          <w:rFonts w:hint="default" w:ascii="仿宋_GB2312" w:hAnsi="仿宋_GB2312" w:eastAsia="仿宋_GB2312" w:cs="仿宋_GB2312"/>
          <w:b/>
          <w:sz w:val="24"/>
          <w:szCs w:val="24"/>
          <w:u w:val="single"/>
          <w:lang w:val="en-US" w:eastAsia="zh-CN"/>
        </w:rPr>
      </w:pPr>
      <w:r>
        <w:rPr>
          <w:rFonts w:hint="eastAsia" w:ascii="仿宋_GB2312" w:hAnsi="仿宋_GB2312" w:eastAsia="仿宋_GB2312" w:cs="仿宋_GB2312"/>
          <w:sz w:val="24"/>
          <w:szCs w:val="24"/>
        </w:rPr>
        <w:t>考核部门（单位）：</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lang w:eastAsia="zh-CN"/>
        </w:rPr>
        <w:t>水和</w:t>
      </w:r>
      <w:r>
        <w:rPr>
          <w:rFonts w:hint="eastAsia" w:ascii="仿宋_GB2312" w:hAnsi="仿宋_GB2312" w:eastAsia="仿宋_GB2312" w:cs="仿宋_GB2312"/>
          <w:sz w:val="24"/>
          <w:szCs w:val="24"/>
          <w:u w:val="single"/>
        </w:rPr>
        <w:t>土壤生态环境科</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被考核单位：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考核</w:t>
      </w:r>
      <w:r>
        <w:rPr>
          <w:rFonts w:hint="eastAsia" w:ascii="仿宋_GB2312" w:hAnsi="仿宋_GB2312" w:eastAsia="仿宋_GB2312" w:cs="仿宋_GB2312"/>
          <w:sz w:val="24"/>
          <w:szCs w:val="24"/>
          <w:lang w:eastAsia="zh-CN"/>
        </w:rPr>
        <w:t>时间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tbl>
      <w:tblPr>
        <w:tblStyle w:val="8"/>
        <w:tblW w:w="13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58"/>
        <w:gridCol w:w="836"/>
        <w:gridCol w:w="1091"/>
        <w:gridCol w:w="444"/>
        <w:gridCol w:w="1414"/>
        <w:gridCol w:w="5803"/>
        <w:gridCol w:w="848"/>
        <w:gridCol w:w="857"/>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3" w:hRule="exact"/>
          <w:tblHeade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评估</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指标</w:t>
            </w:r>
          </w:p>
        </w:tc>
        <w:tc>
          <w:tcPr>
            <w:tcW w:w="15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评估</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质量标准</w:t>
            </w:r>
          </w:p>
        </w:tc>
        <w:tc>
          <w:tcPr>
            <w:tcW w:w="5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评分标准</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得分</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6" w:hRule="exact"/>
          <w:jc w:val="center"/>
        </w:trPr>
        <w:tc>
          <w:tcPr>
            <w:tcW w:w="55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w:t>
            </w:r>
          </w:p>
        </w:tc>
        <w:tc>
          <w:tcPr>
            <w:tcW w:w="1535"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服务能力</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专业能力</w:t>
            </w:r>
          </w:p>
        </w:tc>
        <w:tc>
          <w:tcPr>
            <w:tcW w:w="580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根据项目特点提出客观、科学的建议</w:t>
            </w:r>
            <w:r>
              <w:rPr>
                <w:rFonts w:hint="eastAsia" w:ascii="仿宋_GB2312" w:hAnsi="仿宋_GB2312" w:eastAsia="仿宋_GB2312" w:cs="仿宋_GB2312"/>
                <w:sz w:val="24"/>
                <w:szCs w:val="24"/>
                <w:lang w:eastAsia="zh-CN"/>
              </w:rPr>
              <w:t>，各环节检查意见应全面、客观、可操作性强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检查</w:t>
            </w:r>
            <w:r>
              <w:rPr>
                <w:rFonts w:hint="eastAsia" w:ascii="仿宋_GB2312" w:hAnsi="仿宋_GB2312" w:eastAsia="仿宋_GB2312" w:cs="仿宋_GB2312"/>
                <w:sz w:val="24"/>
                <w:szCs w:val="24"/>
              </w:rPr>
              <w:t>意见</w:t>
            </w:r>
            <w:r>
              <w:rPr>
                <w:rFonts w:hint="eastAsia" w:ascii="仿宋_GB2312" w:hAnsi="仿宋_GB2312" w:eastAsia="仿宋_GB2312" w:cs="仿宋_GB2312"/>
                <w:sz w:val="24"/>
                <w:szCs w:val="24"/>
                <w:lang w:eastAsia="zh-CN"/>
              </w:rPr>
              <w:t>不全面、不客观的</w:t>
            </w:r>
            <w:r>
              <w:rPr>
                <w:rFonts w:hint="eastAsia" w:ascii="仿宋_GB2312" w:hAnsi="仿宋_GB2312" w:eastAsia="仿宋_GB2312" w:cs="仿宋_GB2312"/>
                <w:sz w:val="24"/>
                <w:szCs w:val="24"/>
              </w:rPr>
              <w:t>不得分</w:t>
            </w:r>
            <w:r>
              <w:rPr>
                <w:rFonts w:hint="eastAsia" w:ascii="仿宋_GB2312" w:hAnsi="仿宋_GB2312" w:eastAsia="仿宋_GB2312" w:cs="仿宋_GB2312"/>
                <w:sz w:val="24"/>
                <w:szCs w:val="24"/>
                <w:lang w:eastAsia="zh-CN"/>
              </w:rPr>
              <w:t>，检查过程中无法发现问题提出相关整改意见的，经管理部门认定，每项问题扣</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w:t>
            </w:r>
          </w:p>
        </w:tc>
        <w:tc>
          <w:tcPr>
            <w:tcW w:w="84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85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p>
        </w:tc>
        <w:tc>
          <w:tcPr>
            <w:tcW w:w="2144" w:type="dxa"/>
            <w:tcBorders>
              <w:top w:val="single" w:color="auto" w:sz="4" w:space="0"/>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93" w:hRule="exact"/>
          <w:jc w:val="center"/>
        </w:trPr>
        <w:tc>
          <w:tcPr>
            <w:tcW w:w="5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8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535"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项目团队</w:t>
            </w:r>
          </w:p>
        </w:tc>
        <w:tc>
          <w:tcPr>
            <w:tcW w:w="580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有承担土壤隐患排查回头看、土壤调查监督检查、重点行业企业用地调查工作经验，成立本项目工作组，工作组成员相对固定并实际参加检查工作，具有至少3名长期（10年及以上）从事环境保护工作的高级职称在职技术人员，项目审核人应由本单位具有环境或地质相关专业高级技术职称的人员担任。</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不配备项目负责人、审核人的，不得分；没有承担过土壤隐患排查回头看、土壤调查监督检查、重点行业企业用地调查工作经验的成员，扣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tc>
        <w:tc>
          <w:tcPr>
            <w:tcW w:w="848"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857"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p>
        </w:tc>
        <w:tc>
          <w:tcPr>
            <w:tcW w:w="2144" w:type="dxa"/>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4" w:hRule="exact"/>
          <w:jc w:val="center"/>
        </w:trPr>
        <w:tc>
          <w:tcPr>
            <w:tcW w:w="5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8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535" w:type="dxa"/>
            <w:gridSpan w:val="2"/>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服务质量</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（30分）</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进度实施</w:t>
            </w:r>
          </w:p>
        </w:tc>
        <w:tc>
          <w:tcPr>
            <w:tcW w:w="580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9月15日前完成25家土壤污染重点监管单位平台资料审查并形成台账，11月1日前完成隐患排查整改合格率核算和总结报告。</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预排检查和整改复核计划，定期汇报工作进度，每推迟1个工作日，扣1分。</w:t>
            </w:r>
          </w:p>
        </w:tc>
        <w:tc>
          <w:tcPr>
            <w:tcW w:w="84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85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p>
        </w:tc>
        <w:tc>
          <w:tcPr>
            <w:tcW w:w="214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26" w:hRule="exact"/>
          <w:jc w:val="center"/>
        </w:trPr>
        <w:tc>
          <w:tcPr>
            <w:tcW w:w="5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8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535"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响应速度</w:t>
            </w:r>
          </w:p>
        </w:tc>
        <w:tc>
          <w:tcPr>
            <w:tcW w:w="580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优先采用非现场手段核实企业隐患排查整改情况，确实需要现场核查的，提前向被检查单位发送现场核查通知，并按照约定时间开展现场工作</w:t>
            </w:r>
            <w:r>
              <w:rPr>
                <w:rFonts w:hint="eastAsia" w:ascii="仿宋_GB2312" w:hAnsi="仿宋_GB2312" w:eastAsia="仿宋_GB2312" w:cs="仿宋_GB2312"/>
                <w:sz w:val="24"/>
                <w:szCs w:val="24"/>
                <w:lang w:val="en-US" w:eastAsia="zh-CN"/>
              </w:rPr>
              <w:t>，在3个工作日内向被检查单位反馈意见，</w:t>
            </w:r>
            <w:r>
              <w:rPr>
                <w:rFonts w:hint="eastAsia" w:ascii="仿宋_GB2312" w:hAnsi="仿宋_GB2312" w:eastAsia="仿宋_GB2312" w:cs="仿宋_GB2312"/>
                <w:sz w:val="24"/>
                <w:szCs w:val="24"/>
              </w:rPr>
              <w:t>每超过1个工作日，扣1分</w:t>
            </w:r>
            <w:r>
              <w:rPr>
                <w:rFonts w:hint="eastAsia" w:ascii="仿宋_GB2312" w:hAnsi="仿宋_GB2312" w:eastAsia="仿宋_GB2312" w:cs="仿宋_GB2312"/>
                <w:sz w:val="24"/>
                <w:szCs w:val="24"/>
                <w:lang w:val="en-US" w:eastAsia="zh-CN"/>
              </w:rPr>
              <w:t>。</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eastAsia="zh-CN"/>
              </w:rPr>
              <w:t>过程</w:t>
            </w:r>
            <w:r>
              <w:rPr>
                <w:rFonts w:hint="eastAsia" w:ascii="仿宋_GB2312" w:hAnsi="仿宋_GB2312" w:eastAsia="仿宋_GB2312" w:cs="仿宋_GB2312"/>
                <w:sz w:val="24"/>
                <w:szCs w:val="24"/>
              </w:rPr>
              <w:t>中沟通应及时有效，对管理部门提出的问题应及时答复，</w:t>
            </w:r>
            <w:r>
              <w:rPr>
                <w:rFonts w:hint="eastAsia" w:ascii="仿宋_GB2312" w:hAnsi="仿宋_GB2312" w:eastAsia="仿宋_GB2312" w:cs="仿宋_GB2312"/>
                <w:sz w:val="24"/>
                <w:szCs w:val="24"/>
                <w:lang w:eastAsia="zh-CN"/>
              </w:rPr>
              <w:t>每</w:t>
            </w:r>
            <w:r>
              <w:rPr>
                <w:rFonts w:hint="eastAsia" w:ascii="仿宋_GB2312" w:hAnsi="仿宋_GB2312" w:eastAsia="仿宋_GB2312" w:cs="仿宋_GB2312"/>
                <w:sz w:val="24"/>
                <w:szCs w:val="24"/>
              </w:rPr>
              <w:t>超过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个工作日</w:t>
            </w:r>
            <w:r>
              <w:rPr>
                <w:rFonts w:hint="eastAsia" w:ascii="仿宋_GB2312" w:hAnsi="仿宋_GB2312" w:eastAsia="仿宋_GB2312" w:cs="仿宋_GB2312"/>
                <w:sz w:val="24"/>
                <w:szCs w:val="24"/>
                <w:lang w:eastAsia="zh-CN"/>
              </w:rPr>
              <w:t>未</w:t>
            </w:r>
            <w:r>
              <w:rPr>
                <w:rFonts w:hint="eastAsia" w:ascii="仿宋_GB2312" w:hAnsi="仿宋_GB2312" w:eastAsia="仿宋_GB2312" w:cs="仿宋_GB2312"/>
                <w:sz w:val="24"/>
                <w:szCs w:val="24"/>
              </w:rPr>
              <w:t>予以答复，扣</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w:t>
            </w:r>
          </w:p>
        </w:tc>
        <w:tc>
          <w:tcPr>
            <w:tcW w:w="848"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85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p>
        </w:tc>
        <w:tc>
          <w:tcPr>
            <w:tcW w:w="2144" w:type="dxa"/>
            <w:tcBorders>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9" w:hRule="exact"/>
          <w:jc w:val="center"/>
        </w:trPr>
        <w:tc>
          <w:tcPr>
            <w:tcW w:w="5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8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535" w:type="dxa"/>
            <w:gridSpan w:val="2"/>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成果</w:t>
            </w:r>
            <w:r>
              <w:rPr>
                <w:rFonts w:hint="eastAsia" w:ascii="仿宋_GB2312" w:hAnsi="仿宋_GB2312" w:eastAsia="仿宋_GB2312" w:cs="仿宋_GB2312"/>
                <w:sz w:val="24"/>
                <w:szCs w:val="24"/>
              </w:rPr>
              <w:t>质量</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（50分）</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规范完整</w:t>
            </w:r>
          </w:p>
        </w:tc>
        <w:tc>
          <w:tcPr>
            <w:tcW w:w="580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归档成果资料内容全面、完整，每存在1项问题，扣3分。相关工作被上级通报批评的，不得分。</w:t>
            </w:r>
          </w:p>
        </w:tc>
        <w:tc>
          <w:tcPr>
            <w:tcW w:w="84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85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p>
        </w:tc>
        <w:tc>
          <w:tcPr>
            <w:tcW w:w="2144" w:type="dxa"/>
            <w:tcBorders>
              <w:top w:val="single" w:color="auto" w:sz="4" w:space="0"/>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exact"/>
          <w:jc w:val="center"/>
        </w:trPr>
        <w:tc>
          <w:tcPr>
            <w:tcW w:w="5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8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535"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技术</w:t>
            </w:r>
            <w:r>
              <w:rPr>
                <w:rFonts w:hint="eastAsia" w:ascii="仿宋_GB2312" w:hAnsi="仿宋_GB2312" w:eastAsia="仿宋_GB2312" w:cs="仿宋_GB2312"/>
                <w:sz w:val="24"/>
                <w:szCs w:val="24"/>
              </w:rPr>
              <w:t>支撑</w:t>
            </w:r>
          </w:p>
        </w:tc>
        <w:tc>
          <w:tcPr>
            <w:tcW w:w="580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项目实施过程中不配备遥感影像、无人机、</w:t>
            </w:r>
            <w:r>
              <w:rPr>
                <w:rFonts w:hint="eastAsia" w:ascii="仿宋_GB2312" w:hAnsi="仿宋_GB2312" w:eastAsia="仿宋_GB2312" w:cs="仿宋_GB2312"/>
                <w:sz w:val="24"/>
                <w:szCs w:val="24"/>
                <w:lang w:val="en-US" w:eastAsia="zh-CN"/>
              </w:rPr>
              <w:t>AI大数据非现场检查技术能力的，每项扣1分</w:t>
            </w:r>
            <w:r>
              <w:rPr>
                <w:rFonts w:hint="eastAsia" w:ascii="仿宋_GB2312" w:hAnsi="仿宋_GB2312" w:eastAsia="仿宋_GB2312" w:cs="仿宋_GB2312"/>
                <w:sz w:val="24"/>
                <w:szCs w:val="24"/>
                <w:lang w:eastAsia="zh-CN"/>
              </w:rPr>
              <w:t>；工作成果</w:t>
            </w:r>
            <w:r>
              <w:rPr>
                <w:rFonts w:hint="eastAsia" w:ascii="仿宋_GB2312" w:hAnsi="仿宋_GB2312" w:eastAsia="仿宋_GB2312" w:cs="仿宋_GB2312"/>
                <w:sz w:val="24"/>
                <w:szCs w:val="24"/>
              </w:rPr>
              <w:t>不能支撑</w:t>
            </w:r>
            <w:r>
              <w:rPr>
                <w:rFonts w:hint="eastAsia" w:ascii="仿宋_GB2312" w:hAnsi="仿宋_GB2312" w:eastAsia="仿宋_GB2312" w:cs="仿宋_GB2312"/>
                <w:sz w:val="24"/>
                <w:szCs w:val="24"/>
                <w:lang w:eastAsia="zh-CN"/>
              </w:rPr>
              <w:t>管理部门相关</w:t>
            </w:r>
            <w:r>
              <w:rPr>
                <w:rFonts w:hint="eastAsia" w:ascii="仿宋_GB2312" w:hAnsi="仿宋_GB2312" w:eastAsia="仿宋_GB2312" w:cs="仿宋_GB2312"/>
                <w:sz w:val="24"/>
                <w:szCs w:val="24"/>
              </w:rPr>
              <w:t>决策的，不得分</w:t>
            </w:r>
            <w:r>
              <w:rPr>
                <w:rFonts w:hint="eastAsia" w:ascii="仿宋_GB2312" w:hAnsi="仿宋_GB2312" w:eastAsia="仿宋_GB2312" w:cs="仿宋_GB2312"/>
                <w:sz w:val="24"/>
                <w:szCs w:val="24"/>
                <w:lang w:eastAsia="zh-CN"/>
              </w:rPr>
              <w:t>。</w:t>
            </w:r>
          </w:p>
        </w:tc>
        <w:tc>
          <w:tcPr>
            <w:tcW w:w="848"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85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p>
        </w:tc>
        <w:tc>
          <w:tcPr>
            <w:tcW w:w="2144" w:type="dxa"/>
            <w:tcBorders>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9" w:hRule="exact"/>
          <w:jc w:val="center"/>
        </w:trPr>
        <w:tc>
          <w:tcPr>
            <w:tcW w:w="558"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3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扣分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w:t>
            </w:r>
          </w:p>
        </w:tc>
        <w:tc>
          <w:tcPr>
            <w:tcW w:w="1535"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其他扣分</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客观公正</w:t>
            </w:r>
          </w:p>
        </w:tc>
        <w:tc>
          <w:tcPr>
            <w:tcW w:w="580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未能对项目实事求是、客观公正开展工作，</w:t>
            </w:r>
            <w:r>
              <w:rPr>
                <w:rFonts w:hint="eastAsia" w:ascii="仿宋_GB2312" w:hAnsi="仿宋_GB2312" w:eastAsia="仿宋_GB2312" w:cs="仿宋_GB2312"/>
                <w:sz w:val="24"/>
                <w:szCs w:val="24"/>
                <w:lang w:eastAsia="zh-CN"/>
              </w:rPr>
              <w:t>或与被检查单位存在利益关系未回避的，</w:t>
            </w:r>
            <w:r>
              <w:rPr>
                <w:rFonts w:hint="eastAsia" w:ascii="仿宋_GB2312" w:hAnsi="仿宋_GB2312" w:eastAsia="仿宋_GB2312" w:cs="仿宋_GB2312"/>
                <w:sz w:val="24"/>
                <w:szCs w:val="24"/>
              </w:rPr>
              <w:t>发生一次扣20分</w:t>
            </w:r>
            <w:r>
              <w:rPr>
                <w:rFonts w:hint="eastAsia" w:ascii="仿宋_GB2312" w:hAnsi="仿宋_GB2312" w:eastAsia="仿宋_GB2312" w:cs="仿宋_GB2312"/>
                <w:sz w:val="24"/>
                <w:szCs w:val="24"/>
                <w:lang w:eastAsia="zh-CN"/>
              </w:rPr>
              <w:t>。</w:t>
            </w:r>
          </w:p>
        </w:tc>
        <w:tc>
          <w:tcPr>
            <w:tcW w:w="848"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85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2144" w:type="dxa"/>
            <w:tcBorders>
              <w:top w:val="single" w:color="auto" w:sz="4" w:space="0"/>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6" w:hRule="exact"/>
          <w:jc w:val="center"/>
        </w:trPr>
        <w:tc>
          <w:tcPr>
            <w:tcW w:w="5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8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535"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底线扣分</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保密要求</w:t>
            </w:r>
          </w:p>
        </w:tc>
        <w:tc>
          <w:tcPr>
            <w:tcW w:w="580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过程中造成技术和商业秘密泄露的，</w:t>
            </w:r>
            <w:r>
              <w:rPr>
                <w:rFonts w:hint="eastAsia" w:ascii="仿宋_GB2312" w:hAnsi="仿宋_GB2312" w:eastAsia="仿宋_GB2312" w:cs="仿宋_GB2312"/>
                <w:sz w:val="24"/>
                <w:szCs w:val="24"/>
                <w:lang w:eastAsia="zh-CN"/>
              </w:rPr>
              <w:t>或在主管部门未公开通报前将检查结果透露给企业或第三方的，</w:t>
            </w:r>
            <w:r>
              <w:rPr>
                <w:rFonts w:hint="eastAsia" w:ascii="仿宋_GB2312" w:hAnsi="仿宋_GB2312" w:eastAsia="仿宋_GB2312" w:cs="仿宋_GB2312"/>
                <w:sz w:val="24"/>
                <w:szCs w:val="24"/>
              </w:rPr>
              <w:t>终止合同</w:t>
            </w:r>
            <w:r>
              <w:rPr>
                <w:rFonts w:hint="eastAsia" w:ascii="仿宋_GB2312" w:hAnsi="仿宋_GB2312" w:eastAsia="仿宋_GB2312" w:cs="仿宋_GB2312"/>
                <w:sz w:val="24"/>
                <w:szCs w:val="24"/>
                <w:lang w:eastAsia="zh-CN"/>
              </w:rPr>
              <w:t>并追究法律责任。</w:t>
            </w:r>
          </w:p>
        </w:tc>
        <w:tc>
          <w:tcPr>
            <w:tcW w:w="848"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p>
        </w:tc>
        <w:tc>
          <w:tcPr>
            <w:tcW w:w="857"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p>
        </w:tc>
        <w:tc>
          <w:tcPr>
            <w:tcW w:w="2144" w:type="dxa"/>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1" w:hRule="exact"/>
          <w:jc w:val="center"/>
        </w:trPr>
        <w:tc>
          <w:tcPr>
            <w:tcW w:w="10146" w:type="dxa"/>
            <w:gridSpan w:val="6"/>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合计</w:t>
            </w:r>
          </w:p>
        </w:tc>
        <w:tc>
          <w:tcPr>
            <w:tcW w:w="848"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100</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92" w:hRule="exact"/>
          <w:jc w:val="center"/>
        </w:trPr>
        <w:tc>
          <w:tcPr>
            <w:tcW w:w="2485"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t>罚则</w:t>
            </w:r>
            <w:r>
              <w:rPr>
                <w:rFonts w:hint="eastAsia" w:ascii="仿宋_GB2312" w:hAnsi="仿宋_GB2312" w:eastAsia="仿宋_GB2312" w:cs="仿宋_GB2312"/>
                <w:b/>
                <w:sz w:val="24"/>
                <w:szCs w:val="24"/>
                <w:lang w:eastAsia="zh-CN"/>
              </w:rPr>
              <w:t>说明</w:t>
            </w:r>
          </w:p>
        </w:tc>
        <w:tc>
          <w:tcPr>
            <w:tcW w:w="11510" w:type="dxa"/>
            <w:gridSpan w:val="6"/>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分标准及扣分原因由管理部门业务科室负责解释。考核评定分优秀、良好、合格和不合格4个等次。得分高于95分(含95)的为优秀，得分在85(含85)-94分的为良好，得分在70(含70)-84分的为合格，得分在69分及以下的为不合格。</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（1）考核结果为优秀的，全额支付服务费；</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z w:val="24"/>
                <w:szCs w:val="24"/>
                <w:lang w:val="en"/>
              </w:rPr>
            </w:pPr>
            <w:r>
              <w:rPr>
                <w:rFonts w:hint="eastAsia" w:ascii="仿宋_GB2312" w:hAnsi="仿宋_GB2312" w:eastAsia="仿宋_GB2312" w:cs="仿宋_GB2312"/>
                <w:sz w:val="24"/>
                <w:szCs w:val="24"/>
              </w:rPr>
              <w:t>（2）考核结果未达优秀的，每扣一分相应扣除</w:t>
            </w:r>
            <w:r>
              <w:rPr>
                <w:rFonts w:hint="eastAsia" w:ascii="仿宋_GB2312" w:hAnsi="仿宋_GB2312" w:eastAsia="仿宋_GB2312" w:cs="仿宋_GB2312"/>
                <w:sz w:val="24"/>
                <w:szCs w:val="24"/>
                <w:lang w:val="en-US" w:eastAsia="zh-CN"/>
              </w:rPr>
              <w:t>1000元、</w:t>
            </w:r>
          </w:p>
        </w:tc>
      </w:tr>
    </w:tbl>
    <w:p/>
    <w:sectPr>
      <w:pgSz w:w="16838" w:h="11906" w:orient="landscape"/>
      <w:pgMar w:top="1378" w:right="1440" w:bottom="1202" w:left="1440" w:header="851" w:footer="992" w:gutter="0"/>
      <w:paperSrc/>
      <w:cols w:space="0" w:num="1"/>
      <w:rtlGutter w:val="0"/>
      <w:docGrid w:type="lines" w:linePitch="46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13000">
    <w:panose1 w:val="02000500000000000000"/>
    <w:charset w:val="86"/>
    <w:family w:val="auto"/>
    <w:pitch w:val="default"/>
    <w:sig w:usb0="800002BF" w:usb1="38CF7CF8" w:usb2="00000016" w:usb3="00000000" w:csb0="0004000F" w:csb1="00000000"/>
  </w:font>
  <w:font w:name="汉仪叶叶相思体简">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44AA"/>
    <w:multiLevelType w:val="singleLevel"/>
    <w:tmpl w:val="BBD744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23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60"/>
    <w:rsid w:val="00022903"/>
    <w:rsid w:val="00164BC8"/>
    <w:rsid w:val="00222D6C"/>
    <w:rsid w:val="004936F8"/>
    <w:rsid w:val="004A2553"/>
    <w:rsid w:val="00561070"/>
    <w:rsid w:val="00695D8A"/>
    <w:rsid w:val="007B08B4"/>
    <w:rsid w:val="009F3DE8"/>
    <w:rsid w:val="00A3133F"/>
    <w:rsid w:val="00BB02E4"/>
    <w:rsid w:val="00C90460"/>
    <w:rsid w:val="00CD68EF"/>
    <w:rsid w:val="00F63570"/>
    <w:rsid w:val="00F64DDF"/>
    <w:rsid w:val="04E97B76"/>
    <w:rsid w:val="17FB5623"/>
    <w:rsid w:val="187EBD9F"/>
    <w:rsid w:val="1F79CBCA"/>
    <w:rsid w:val="2B8FCAF6"/>
    <w:rsid w:val="37C7A1A3"/>
    <w:rsid w:val="397BCDDF"/>
    <w:rsid w:val="3CBF015B"/>
    <w:rsid w:val="3DFF548C"/>
    <w:rsid w:val="3DFF7268"/>
    <w:rsid w:val="3FFE5031"/>
    <w:rsid w:val="3FFF7D7B"/>
    <w:rsid w:val="47E21282"/>
    <w:rsid w:val="4C7FF4CA"/>
    <w:rsid w:val="4DB280C2"/>
    <w:rsid w:val="55EFA61F"/>
    <w:rsid w:val="56A77B21"/>
    <w:rsid w:val="57FFAD07"/>
    <w:rsid w:val="596D8A7F"/>
    <w:rsid w:val="59FE8613"/>
    <w:rsid w:val="5ACF5911"/>
    <w:rsid w:val="5B9CCD44"/>
    <w:rsid w:val="5BDBBAAC"/>
    <w:rsid w:val="5DE6DF81"/>
    <w:rsid w:val="5EBAC3AF"/>
    <w:rsid w:val="5F7F3B81"/>
    <w:rsid w:val="5FBF3B51"/>
    <w:rsid w:val="5FBF79CA"/>
    <w:rsid w:val="5FD72CA5"/>
    <w:rsid w:val="5FD7EACE"/>
    <w:rsid w:val="5FE4E37D"/>
    <w:rsid w:val="5FEED1DB"/>
    <w:rsid w:val="5FF69DEE"/>
    <w:rsid w:val="6878A0EB"/>
    <w:rsid w:val="69FF7950"/>
    <w:rsid w:val="6BD5CC74"/>
    <w:rsid w:val="6BFB4B68"/>
    <w:rsid w:val="6C36842B"/>
    <w:rsid w:val="6DAB6C8A"/>
    <w:rsid w:val="6DEE11EE"/>
    <w:rsid w:val="6FA7DC2D"/>
    <w:rsid w:val="6FFE3AB8"/>
    <w:rsid w:val="73EBBF25"/>
    <w:rsid w:val="763DC6B5"/>
    <w:rsid w:val="766F168B"/>
    <w:rsid w:val="776FB94E"/>
    <w:rsid w:val="77DFAE45"/>
    <w:rsid w:val="797DAE94"/>
    <w:rsid w:val="797F993A"/>
    <w:rsid w:val="79FEF145"/>
    <w:rsid w:val="7BFC0920"/>
    <w:rsid w:val="7BFEC1A2"/>
    <w:rsid w:val="7CFBA0DC"/>
    <w:rsid w:val="7E7AF5CF"/>
    <w:rsid w:val="7EED3CF1"/>
    <w:rsid w:val="7F72EA66"/>
    <w:rsid w:val="7F7EC2C8"/>
    <w:rsid w:val="7FB79BFC"/>
    <w:rsid w:val="7FDBF3EB"/>
    <w:rsid w:val="7FDF12C7"/>
    <w:rsid w:val="7FEBC1E3"/>
    <w:rsid w:val="84FE5328"/>
    <w:rsid w:val="8975AA10"/>
    <w:rsid w:val="9FBF3A9B"/>
    <w:rsid w:val="AF3F8206"/>
    <w:rsid w:val="B35901EC"/>
    <w:rsid w:val="B7FFFF53"/>
    <w:rsid w:val="BBFFB9F5"/>
    <w:rsid w:val="BDEF8A7C"/>
    <w:rsid w:val="BFBB715D"/>
    <w:rsid w:val="BFD9E821"/>
    <w:rsid w:val="BFFD738D"/>
    <w:rsid w:val="C3F79082"/>
    <w:rsid w:val="C5DFA8AE"/>
    <w:rsid w:val="C677EF18"/>
    <w:rsid w:val="CFDD6F75"/>
    <w:rsid w:val="CFFEF773"/>
    <w:rsid w:val="D87B4BB0"/>
    <w:rsid w:val="DC6FDD37"/>
    <w:rsid w:val="DDBDCF1C"/>
    <w:rsid w:val="DE7FFB10"/>
    <w:rsid w:val="DFBB318A"/>
    <w:rsid w:val="DFBF3B98"/>
    <w:rsid w:val="DFDEF62F"/>
    <w:rsid w:val="DFEAD81B"/>
    <w:rsid w:val="E2FF66E9"/>
    <w:rsid w:val="E3FC3B5D"/>
    <w:rsid w:val="E76DEFBF"/>
    <w:rsid w:val="E9BF8312"/>
    <w:rsid w:val="EB9BC801"/>
    <w:rsid w:val="EBCD72B9"/>
    <w:rsid w:val="EDEF632A"/>
    <w:rsid w:val="EEBEFDB4"/>
    <w:rsid w:val="EF7598C1"/>
    <w:rsid w:val="EFEF6DFD"/>
    <w:rsid w:val="EFFDFBAB"/>
    <w:rsid w:val="F2FA4374"/>
    <w:rsid w:val="F3F7774C"/>
    <w:rsid w:val="F45F82E5"/>
    <w:rsid w:val="F67E5ABF"/>
    <w:rsid w:val="F6DC306C"/>
    <w:rsid w:val="F7B60D3E"/>
    <w:rsid w:val="F7DFAFFA"/>
    <w:rsid w:val="F7F6E20D"/>
    <w:rsid w:val="F7FEFB68"/>
    <w:rsid w:val="FD7F8C5C"/>
    <w:rsid w:val="FDE7B295"/>
    <w:rsid w:val="FEEF5FCF"/>
    <w:rsid w:val="FEFE1A7C"/>
    <w:rsid w:val="FF0FFB88"/>
    <w:rsid w:val="FF65A2E9"/>
    <w:rsid w:val="FFDB0F5E"/>
    <w:rsid w:val="FFEBF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0"/>
      <w:sz w:val="34"/>
      <w:szCs w:val="20"/>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框文本 字符"/>
    <w:basedOn w:val="10"/>
    <w:link w:val="5"/>
    <w:semiHidden/>
    <w:qFormat/>
    <w:uiPriority w:val="99"/>
    <w:rPr>
      <w:rFonts w:ascii="宋体"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413</Words>
  <Characters>2355</Characters>
  <Lines>19</Lines>
  <Paragraphs>5</Paragraphs>
  <TotalTime>1</TotalTime>
  <ScaleCrop>false</ScaleCrop>
  <LinksUpToDate>false</LinksUpToDate>
  <CharactersWithSpaces>2763</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2023-05-16T21:05:00Z</dcterms:created>
  <dc:creator>qiqiuqiu163@163.com</dc:creator>
  <cp:lastModifiedBy>user</cp:lastModifiedBy>
  <cp:lastPrinted>2026-06-27T09:38:00Z</cp:lastPrinted>
  <dcterms:modified xsi:type="dcterms:W3CDTF">2026-07-02T09:08:33Z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8FF2142DB099763DE482436AFF3A311B</vt:lpwstr>
  </property>
</Properties>
</file>